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8F67E8">
      <w:pPr>
        <w:jc w:val="center"/>
        <w:rPr>
          <w:rFonts w:ascii="宋体" w:hAnsi="宋体"/>
        </w:rPr>
      </w:pPr>
    </w:p>
    <w:p w14:paraId="786C7A90">
      <w:pPr>
        <w:jc w:val="center"/>
        <w:rPr>
          <w:rFonts w:ascii="宋体" w:hAnsi="宋体"/>
        </w:rPr>
      </w:pPr>
    </w:p>
    <w:p w14:paraId="040E4483">
      <w:pPr>
        <w:spacing w:line="1600" w:lineRule="exact"/>
        <w:outlineLvl w:val="0"/>
        <w:rPr>
          <w:rFonts w:ascii="方正黑体_GBK" w:eastAsia="方正黑体_GBK"/>
          <w:sz w:val="100"/>
        </w:rPr>
      </w:pPr>
    </w:p>
    <w:p w14:paraId="4B1F8A3A">
      <w:pPr>
        <w:jc w:val="center"/>
        <w:rPr>
          <w:rFonts w:ascii="宋体" w:hAnsi="宋体"/>
        </w:rPr>
      </w:pPr>
    </w:p>
    <w:p w14:paraId="14B7C620">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竞争性谈判文件</w:t>
      </w:r>
    </w:p>
    <w:p w14:paraId="55FBF5E5">
      <w:pPr>
        <w:spacing w:line="700" w:lineRule="exact"/>
        <w:jc w:val="center"/>
        <w:rPr>
          <w:rFonts w:ascii="黑体" w:eastAsia="黑体"/>
          <w:sz w:val="32"/>
        </w:rPr>
      </w:pPr>
    </w:p>
    <w:p w14:paraId="2482D458">
      <w:pPr>
        <w:spacing w:line="700" w:lineRule="exact"/>
        <w:jc w:val="center"/>
        <w:rPr>
          <w:rFonts w:ascii="黑体" w:eastAsia="黑体"/>
          <w:sz w:val="32"/>
        </w:rPr>
      </w:pPr>
    </w:p>
    <w:p w14:paraId="5EEA83FE">
      <w:pPr>
        <w:spacing w:line="700" w:lineRule="exact"/>
        <w:jc w:val="center"/>
        <w:rPr>
          <w:rFonts w:ascii="黑体" w:eastAsia="黑体"/>
          <w:sz w:val="32"/>
        </w:rPr>
      </w:pPr>
    </w:p>
    <w:p w14:paraId="05B20E77">
      <w:pPr>
        <w:spacing w:line="700" w:lineRule="exact"/>
        <w:jc w:val="center"/>
        <w:rPr>
          <w:rFonts w:ascii="黑体" w:eastAsia="黑体"/>
          <w:sz w:val="32"/>
        </w:rPr>
      </w:pPr>
    </w:p>
    <w:p w14:paraId="688B8854">
      <w:pPr>
        <w:spacing w:line="500" w:lineRule="exact"/>
        <w:outlineLvl w:val="0"/>
        <w:rPr>
          <w:rFonts w:ascii="方正小标宋_GBK" w:hAnsi="宋体" w:eastAsia="方正小标宋_GBK"/>
          <w:sz w:val="40"/>
          <w:szCs w:val="40"/>
        </w:rPr>
      </w:pPr>
      <w:r>
        <w:rPr>
          <w:rFonts w:hint="eastAsia" w:ascii="方正小标宋_GBK" w:hAnsi="宋体" w:eastAsia="方正小标宋_GBK"/>
          <w:sz w:val="36"/>
          <w:szCs w:val="36"/>
        </w:rPr>
        <w:t xml:space="preserve">    项   目   号：QJZJZX26B001</w:t>
      </w:r>
    </w:p>
    <w:p w14:paraId="74C14EF7">
      <w:pPr>
        <w:widowControl/>
        <w:jc w:val="left"/>
        <w:rPr>
          <w:rFonts w:ascii="方正小标宋_GBK" w:hAnsi="宋体" w:eastAsia="方正小标宋_GBK"/>
          <w:sz w:val="36"/>
          <w:szCs w:val="36"/>
        </w:rPr>
      </w:pPr>
    </w:p>
    <w:p w14:paraId="718CC810">
      <w:pPr>
        <w:spacing w:line="500" w:lineRule="exact"/>
        <w:ind w:left="3240" w:hanging="3240" w:hangingChars="900"/>
        <w:outlineLvl w:val="0"/>
        <w:rPr>
          <w:rFonts w:ascii="方正小标宋_GBK" w:hAnsi="宋体" w:eastAsia="方正小标宋_GBK"/>
          <w:sz w:val="36"/>
          <w:szCs w:val="36"/>
        </w:rPr>
      </w:pPr>
      <w:r>
        <w:rPr>
          <w:rFonts w:hint="eastAsia" w:ascii="方正小标宋_GBK" w:hAnsi="宋体" w:eastAsia="方正小标宋_GBK"/>
          <w:sz w:val="36"/>
          <w:szCs w:val="36"/>
        </w:rPr>
        <w:t xml:space="preserve">    谈判项目名称：</w:t>
      </w:r>
      <w:r>
        <w:rPr>
          <w:rFonts w:hint="eastAsia" w:ascii="方正小标宋_GBK" w:eastAsia="方正小标宋_GBK"/>
          <w:sz w:val="36"/>
          <w:szCs w:val="36"/>
        </w:rPr>
        <w:t>警务室建设</w:t>
      </w:r>
    </w:p>
    <w:p w14:paraId="4D574379">
      <w:pPr>
        <w:spacing w:line="700" w:lineRule="exact"/>
        <w:jc w:val="center"/>
        <w:rPr>
          <w:rFonts w:ascii="方正小标宋_GBK" w:hAnsi="宋体" w:eastAsia="方正小标宋_GBK"/>
          <w:b/>
          <w:sz w:val="36"/>
          <w:szCs w:val="36"/>
        </w:rPr>
      </w:pPr>
    </w:p>
    <w:p w14:paraId="67C496DE">
      <w:pPr>
        <w:spacing w:line="700" w:lineRule="exact"/>
        <w:jc w:val="center"/>
        <w:rPr>
          <w:rFonts w:ascii="方正小标宋_GBK" w:hAnsi="宋体" w:eastAsia="方正小标宋_GBK"/>
          <w:b/>
          <w:sz w:val="36"/>
          <w:szCs w:val="36"/>
        </w:rPr>
      </w:pPr>
    </w:p>
    <w:p w14:paraId="29250C83">
      <w:pPr>
        <w:spacing w:line="700" w:lineRule="exact"/>
        <w:jc w:val="center"/>
        <w:rPr>
          <w:rFonts w:ascii="方正小标宋_GBK" w:hAnsi="宋体" w:eastAsia="方正小标宋_GBK"/>
          <w:b/>
          <w:sz w:val="36"/>
          <w:szCs w:val="36"/>
        </w:rPr>
      </w:pPr>
    </w:p>
    <w:p w14:paraId="5627E6F5">
      <w:pPr>
        <w:spacing w:line="700" w:lineRule="exact"/>
        <w:rPr>
          <w:rFonts w:ascii="方正小标宋_GBK" w:hAnsi="宋体" w:eastAsia="方正小标宋_GBK"/>
          <w:b/>
          <w:sz w:val="36"/>
          <w:szCs w:val="36"/>
        </w:rPr>
      </w:pPr>
    </w:p>
    <w:p w14:paraId="4BD01AEA">
      <w:pPr>
        <w:spacing w:line="500" w:lineRule="exact"/>
        <w:jc w:val="center"/>
        <w:outlineLvl w:val="0"/>
        <w:rPr>
          <w:rFonts w:ascii="方正小标宋_GBK" w:eastAsia="方正小标宋_GBK"/>
          <w:sz w:val="36"/>
          <w:szCs w:val="36"/>
        </w:rPr>
      </w:pPr>
      <w:r>
        <w:rPr>
          <w:rFonts w:hint="eastAsia" w:ascii="方正小标宋_GBK" w:eastAsia="方正小标宋_GBK"/>
          <w:sz w:val="36"/>
          <w:szCs w:val="36"/>
        </w:rPr>
        <w:t>采购人：重庆市黔江区民族职业教育中心</w:t>
      </w:r>
    </w:p>
    <w:p w14:paraId="78BF9E8C">
      <w:pPr>
        <w:spacing w:line="720" w:lineRule="exact"/>
        <w:jc w:val="center"/>
        <w:outlineLvl w:val="0"/>
        <w:rPr>
          <w:rFonts w:ascii="方正小标宋_GBK" w:hAnsi="宋体" w:eastAsia="方正小标宋_GBK"/>
          <w:sz w:val="36"/>
          <w:szCs w:val="36"/>
        </w:rPr>
      </w:pPr>
    </w:p>
    <w:p w14:paraId="0FA37BF2">
      <w:pPr>
        <w:spacing w:line="720" w:lineRule="exact"/>
        <w:jc w:val="center"/>
        <w:outlineLvl w:val="0"/>
        <w:rPr>
          <w:rFonts w:ascii="方正黑体_GBK" w:hAnsi="宋体" w:eastAsia="方正黑体_GBK"/>
          <w:sz w:val="48"/>
          <w:szCs w:val="32"/>
        </w:rPr>
      </w:pPr>
      <w:r>
        <w:rPr>
          <w:rFonts w:hint="eastAsia" w:ascii="方正小标宋_GBK" w:hAnsi="宋体" w:eastAsia="方正小标宋_GBK"/>
          <w:sz w:val="36"/>
          <w:szCs w:val="36"/>
        </w:rPr>
        <w:t>二〇二六年四月</w:t>
      </w:r>
    </w:p>
    <w:p w14:paraId="72EA6ECA">
      <w:pPr>
        <w:spacing w:line="480" w:lineRule="exact"/>
        <w:outlineLvl w:val="0"/>
        <w:rPr>
          <w:rFonts w:ascii="方正黑体_GBK"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59883CDD">
      <w:pPr>
        <w:spacing w:line="480" w:lineRule="exact"/>
        <w:jc w:val="center"/>
        <w:outlineLvl w:val="0"/>
        <w:rPr>
          <w:rFonts w:ascii="宋体" w:hAnsi="宋体" w:cs="宋体"/>
          <w:b/>
          <w:bCs/>
          <w:szCs w:val="28"/>
        </w:rPr>
      </w:pPr>
      <w:r>
        <w:rPr>
          <w:rFonts w:hint="eastAsia" w:ascii="宋体" w:hAnsi="宋体" w:cs="宋体"/>
          <w:b/>
          <w:bCs/>
          <w:szCs w:val="28"/>
        </w:rPr>
        <w:t>目   录</w:t>
      </w:r>
    </w:p>
    <w:p w14:paraId="795E0996">
      <w:pPr>
        <w:pStyle w:val="37"/>
        <w:tabs>
          <w:tab w:val="right" w:leader="dot" w:pos="9412"/>
        </w:tabs>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fldChar w:fldCharType="begin"/>
      </w:r>
      <w:r>
        <w:instrText xml:space="preserve"> HYPERLINK \l "_Toc17198" </w:instrText>
      </w:r>
      <w:r>
        <w:fldChar w:fldCharType="separate"/>
      </w:r>
      <w:r>
        <w:rPr>
          <w:rFonts w:hint="eastAsia" w:cs="宋体"/>
          <w:bCs/>
        </w:rPr>
        <w:t>第一篇  竞争性谈判邀请书</w:t>
      </w:r>
      <w:r>
        <w:tab/>
      </w:r>
      <w:r>
        <w:fldChar w:fldCharType="begin"/>
      </w:r>
      <w:r>
        <w:instrText xml:space="preserve"> PAGEREF _Toc17198 \h </w:instrText>
      </w:r>
      <w:r>
        <w:fldChar w:fldCharType="separate"/>
      </w:r>
      <w:r>
        <w:t>- 3 -</w:t>
      </w:r>
      <w:r>
        <w:fldChar w:fldCharType="end"/>
      </w:r>
      <w:r>
        <w:fldChar w:fldCharType="end"/>
      </w:r>
    </w:p>
    <w:p w14:paraId="3B6086EA">
      <w:pPr>
        <w:pStyle w:val="45"/>
        <w:tabs>
          <w:tab w:val="right" w:leader="dot" w:pos="9412"/>
        </w:tabs>
        <w:ind w:left="560"/>
      </w:pPr>
      <w:r>
        <w:fldChar w:fldCharType="begin"/>
      </w:r>
      <w:r>
        <w:instrText xml:space="preserve"> HYPERLINK \l "_Toc9733" </w:instrText>
      </w:r>
      <w:r>
        <w:fldChar w:fldCharType="separate"/>
      </w:r>
      <w:r>
        <w:rPr>
          <w:rFonts w:hint="eastAsia" w:ascii="宋体" w:hAnsi="宋体" w:cs="宋体"/>
        </w:rPr>
        <w:t>一、竞争性谈判内容</w:t>
      </w:r>
      <w:r>
        <w:tab/>
      </w:r>
      <w:r>
        <w:fldChar w:fldCharType="begin"/>
      </w:r>
      <w:r>
        <w:instrText xml:space="preserve"> PAGEREF _Toc9733 \h </w:instrText>
      </w:r>
      <w:r>
        <w:fldChar w:fldCharType="separate"/>
      </w:r>
      <w:r>
        <w:t>- 3 -</w:t>
      </w:r>
      <w:r>
        <w:fldChar w:fldCharType="end"/>
      </w:r>
      <w:r>
        <w:fldChar w:fldCharType="end"/>
      </w:r>
    </w:p>
    <w:p w14:paraId="541C59AB">
      <w:pPr>
        <w:pStyle w:val="45"/>
        <w:tabs>
          <w:tab w:val="right" w:leader="dot" w:pos="9412"/>
        </w:tabs>
        <w:ind w:left="560"/>
      </w:pPr>
      <w:r>
        <w:fldChar w:fldCharType="begin"/>
      </w:r>
      <w:r>
        <w:instrText xml:space="preserve"> HYPERLINK \l "_Toc23717" </w:instrText>
      </w:r>
      <w:r>
        <w:fldChar w:fldCharType="separate"/>
      </w:r>
      <w:r>
        <w:rPr>
          <w:rFonts w:hint="eastAsia" w:ascii="宋体" w:hAnsi="宋体" w:cs="宋体"/>
        </w:rPr>
        <w:t>二、资金来源</w:t>
      </w:r>
      <w:r>
        <w:tab/>
      </w:r>
      <w:r>
        <w:fldChar w:fldCharType="begin"/>
      </w:r>
      <w:r>
        <w:instrText xml:space="preserve"> PAGEREF _Toc23717 \h </w:instrText>
      </w:r>
      <w:r>
        <w:fldChar w:fldCharType="separate"/>
      </w:r>
      <w:r>
        <w:t>- 3 -</w:t>
      </w:r>
      <w:r>
        <w:fldChar w:fldCharType="end"/>
      </w:r>
      <w:r>
        <w:fldChar w:fldCharType="end"/>
      </w:r>
    </w:p>
    <w:p w14:paraId="1FDD296C">
      <w:pPr>
        <w:pStyle w:val="45"/>
        <w:tabs>
          <w:tab w:val="right" w:leader="dot" w:pos="9412"/>
        </w:tabs>
        <w:ind w:left="560"/>
      </w:pPr>
      <w:r>
        <w:fldChar w:fldCharType="begin"/>
      </w:r>
      <w:r>
        <w:instrText xml:space="preserve"> HYPERLINK \l "_Toc3080" </w:instrText>
      </w:r>
      <w:r>
        <w:fldChar w:fldCharType="separate"/>
      </w:r>
      <w:r>
        <w:rPr>
          <w:rFonts w:hint="eastAsia" w:ascii="宋体" w:hAnsi="宋体" w:cs="宋体"/>
        </w:rPr>
        <w:t>三、供应商资格条件</w:t>
      </w:r>
      <w:r>
        <w:tab/>
      </w:r>
      <w:r>
        <w:fldChar w:fldCharType="begin"/>
      </w:r>
      <w:r>
        <w:instrText xml:space="preserve"> PAGEREF _Toc3080 \h </w:instrText>
      </w:r>
      <w:r>
        <w:fldChar w:fldCharType="separate"/>
      </w:r>
      <w:r>
        <w:t>- 3 -</w:t>
      </w:r>
      <w:r>
        <w:fldChar w:fldCharType="end"/>
      </w:r>
      <w:r>
        <w:fldChar w:fldCharType="end"/>
      </w:r>
    </w:p>
    <w:p w14:paraId="1E3350E6">
      <w:pPr>
        <w:pStyle w:val="45"/>
        <w:tabs>
          <w:tab w:val="right" w:leader="dot" w:pos="9412"/>
        </w:tabs>
        <w:ind w:left="560"/>
      </w:pPr>
      <w:r>
        <w:fldChar w:fldCharType="begin"/>
      </w:r>
      <w:r>
        <w:instrText xml:space="preserve"> HYPERLINK \l "_Toc29192" </w:instrText>
      </w:r>
      <w:r>
        <w:fldChar w:fldCharType="separate"/>
      </w:r>
      <w:r>
        <w:rPr>
          <w:rFonts w:hint="eastAsia" w:ascii="宋体" w:hAnsi="宋体" w:cs="宋体"/>
        </w:rPr>
        <w:t>四、谈判有关说明</w:t>
      </w:r>
      <w:r>
        <w:tab/>
      </w:r>
      <w:r>
        <w:fldChar w:fldCharType="begin"/>
      </w:r>
      <w:r>
        <w:instrText xml:space="preserve"> PAGEREF _Toc29192 \h </w:instrText>
      </w:r>
      <w:r>
        <w:fldChar w:fldCharType="separate"/>
      </w:r>
      <w:r>
        <w:t>- 3 -</w:t>
      </w:r>
      <w:r>
        <w:fldChar w:fldCharType="end"/>
      </w:r>
      <w:r>
        <w:fldChar w:fldCharType="end"/>
      </w:r>
    </w:p>
    <w:p w14:paraId="1F549A69">
      <w:pPr>
        <w:pStyle w:val="45"/>
        <w:tabs>
          <w:tab w:val="right" w:leader="dot" w:pos="9412"/>
        </w:tabs>
        <w:ind w:left="560"/>
      </w:pPr>
      <w:r>
        <w:fldChar w:fldCharType="begin"/>
      </w:r>
      <w:r>
        <w:instrText xml:space="preserve"> HYPERLINK \l "_Toc22975" </w:instrText>
      </w:r>
      <w:r>
        <w:fldChar w:fldCharType="separate"/>
      </w:r>
      <w:r>
        <w:rPr>
          <w:rFonts w:hint="eastAsia" w:ascii="宋体" w:hAnsi="宋体" w:cs="宋体"/>
        </w:rPr>
        <w:t>五、保证金</w:t>
      </w:r>
      <w:r>
        <w:tab/>
      </w:r>
      <w:r>
        <w:fldChar w:fldCharType="begin"/>
      </w:r>
      <w:r>
        <w:instrText xml:space="preserve"> PAGEREF _Toc22975 \h </w:instrText>
      </w:r>
      <w:r>
        <w:fldChar w:fldCharType="separate"/>
      </w:r>
      <w:r>
        <w:t>- 3 -</w:t>
      </w:r>
      <w:r>
        <w:fldChar w:fldCharType="end"/>
      </w:r>
      <w:r>
        <w:fldChar w:fldCharType="end"/>
      </w:r>
    </w:p>
    <w:p w14:paraId="257BAB86">
      <w:pPr>
        <w:pStyle w:val="45"/>
        <w:tabs>
          <w:tab w:val="right" w:leader="dot" w:pos="9412"/>
        </w:tabs>
        <w:ind w:left="560"/>
      </w:pPr>
      <w:r>
        <w:fldChar w:fldCharType="begin"/>
      </w:r>
      <w:r>
        <w:instrText xml:space="preserve"> HYPERLINK \l "_Toc13024" </w:instrText>
      </w:r>
      <w:r>
        <w:fldChar w:fldCharType="separate"/>
      </w:r>
      <w:r>
        <w:rPr>
          <w:rFonts w:hint="eastAsia" w:ascii="宋体" w:hAnsi="宋体" w:cs="宋体"/>
        </w:rPr>
        <w:t>六、采购项目需落实的政府采购政策</w:t>
      </w:r>
      <w:r>
        <w:tab/>
      </w:r>
      <w:r>
        <w:fldChar w:fldCharType="begin"/>
      </w:r>
      <w:r>
        <w:instrText xml:space="preserve"> PAGEREF _Toc13024 \h </w:instrText>
      </w:r>
      <w:r>
        <w:fldChar w:fldCharType="separate"/>
      </w:r>
      <w:r>
        <w:t>- 4 -</w:t>
      </w:r>
      <w:r>
        <w:fldChar w:fldCharType="end"/>
      </w:r>
      <w:r>
        <w:fldChar w:fldCharType="end"/>
      </w:r>
    </w:p>
    <w:p w14:paraId="10D67F2F">
      <w:pPr>
        <w:pStyle w:val="45"/>
        <w:tabs>
          <w:tab w:val="right" w:leader="dot" w:pos="9412"/>
        </w:tabs>
        <w:ind w:left="560"/>
      </w:pPr>
      <w:r>
        <w:fldChar w:fldCharType="begin"/>
      </w:r>
      <w:r>
        <w:instrText xml:space="preserve"> HYPERLINK \l "_Toc7771" </w:instrText>
      </w:r>
      <w:r>
        <w:fldChar w:fldCharType="separate"/>
      </w:r>
      <w:r>
        <w:rPr>
          <w:rFonts w:hint="eastAsia" w:ascii="宋体" w:hAnsi="宋体" w:cs="宋体"/>
        </w:rPr>
        <w:t>七、其它有关规定</w:t>
      </w:r>
      <w:r>
        <w:tab/>
      </w:r>
      <w:r>
        <w:fldChar w:fldCharType="begin"/>
      </w:r>
      <w:r>
        <w:instrText xml:space="preserve"> PAGEREF _Toc7771 \h </w:instrText>
      </w:r>
      <w:r>
        <w:fldChar w:fldCharType="separate"/>
      </w:r>
      <w:r>
        <w:t>- 4 -</w:t>
      </w:r>
      <w:r>
        <w:fldChar w:fldCharType="end"/>
      </w:r>
      <w:r>
        <w:fldChar w:fldCharType="end"/>
      </w:r>
    </w:p>
    <w:p w14:paraId="22FD76C6">
      <w:pPr>
        <w:pStyle w:val="45"/>
        <w:tabs>
          <w:tab w:val="right" w:leader="dot" w:pos="9412"/>
        </w:tabs>
        <w:ind w:left="560"/>
      </w:pPr>
      <w:r>
        <w:fldChar w:fldCharType="begin"/>
      </w:r>
      <w:r>
        <w:instrText xml:space="preserve"> HYPERLINK \l "_Toc16449" </w:instrText>
      </w:r>
      <w:r>
        <w:fldChar w:fldCharType="separate"/>
      </w:r>
      <w:r>
        <w:rPr>
          <w:rFonts w:hint="eastAsia" w:ascii="宋体" w:hAnsi="宋体" w:cs="宋体"/>
        </w:rPr>
        <w:t>八、联系方式</w:t>
      </w:r>
      <w:r>
        <w:tab/>
      </w:r>
      <w:r>
        <w:fldChar w:fldCharType="begin"/>
      </w:r>
      <w:r>
        <w:instrText xml:space="preserve"> PAGEREF _Toc16449 \h </w:instrText>
      </w:r>
      <w:r>
        <w:fldChar w:fldCharType="separate"/>
      </w:r>
      <w:r>
        <w:t>- 4 -</w:t>
      </w:r>
      <w:r>
        <w:fldChar w:fldCharType="end"/>
      </w:r>
      <w:r>
        <w:fldChar w:fldCharType="end"/>
      </w:r>
    </w:p>
    <w:p w14:paraId="237F5143">
      <w:pPr>
        <w:pStyle w:val="37"/>
        <w:tabs>
          <w:tab w:val="right" w:leader="dot" w:pos="9412"/>
        </w:tabs>
      </w:pPr>
      <w:r>
        <w:fldChar w:fldCharType="begin"/>
      </w:r>
      <w:r>
        <w:instrText xml:space="preserve"> HYPERLINK \l "_Toc4793" </w:instrText>
      </w:r>
      <w:r>
        <w:fldChar w:fldCharType="separate"/>
      </w:r>
      <w:r>
        <w:rPr>
          <w:rFonts w:hint="eastAsia" w:cs="宋体"/>
          <w:bCs/>
        </w:rPr>
        <w:t>第二篇  项目服务需求</w:t>
      </w:r>
      <w:r>
        <w:tab/>
      </w:r>
      <w:r>
        <w:fldChar w:fldCharType="begin"/>
      </w:r>
      <w:r>
        <w:instrText xml:space="preserve"> PAGEREF _Toc4793 \h </w:instrText>
      </w:r>
      <w:r>
        <w:fldChar w:fldCharType="separate"/>
      </w:r>
      <w:r>
        <w:t>- 6 -</w:t>
      </w:r>
      <w:r>
        <w:fldChar w:fldCharType="end"/>
      </w:r>
      <w:r>
        <w:fldChar w:fldCharType="end"/>
      </w:r>
    </w:p>
    <w:p w14:paraId="12492C5C">
      <w:pPr>
        <w:pStyle w:val="37"/>
        <w:tabs>
          <w:tab w:val="right" w:leader="dot" w:pos="9412"/>
        </w:tabs>
      </w:pPr>
      <w:r>
        <w:fldChar w:fldCharType="begin"/>
      </w:r>
      <w:r>
        <w:instrText xml:space="preserve"> HYPERLINK \l "_Toc838" </w:instrText>
      </w:r>
      <w:r>
        <w:fldChar w:fldCharType="separate"/>
      </w:r>
      <w:r>
        <w:rPr>
          <w:rFonts w:hint="eastAsia" w:cs="宋体"/>
          <w:bCs/>
        </w:rPr>
        <w:t>第三篇  项目商务需求</w:t>
      </w:r>
      <w:r>
        <w:tab/>
      </w:r>
      <w:r>
        <w:fldChar w:fldCharType="begin"/>
      </w:r>
      <w:r>
        <w:instrText xml:space="preserve"> PAGEREF _Toc838 \h </w:instrText>
      </w:r>
      <w:r>
        <w:fldChar w:fldCharType="separate"/>
      </w:r>
      <w:r>
        <w:t>- 8 -</w:t>
      </w:r>
      <w:r>
        <w:fldChar w:fldCharType="end"/>
      </w:r>
      <w:r>
        <w:fldChar w:fldCharType="end"/>
      </w:r>
    </w:p>
    <w:p w14:paraId="11F514C5">
      <w:pPr>
        <w:pStyle w:val="45"/>
        <w:tabs>
          <w:tab w:val="right" w:leader="dot" w:pos="9412"/>
        </w:tabs>
        <w:ind w:left="560"/>
      </w:pPr>
      <w:r>
        <w:fldChar w:fldCharType="begin"/>
      </w:r>
      <w:r>
        <w:instrText xml:space="preserve"> HYPERLINK \l "_Toc2164" </w:instrText>
      </w:r>
      <w:r>
        <w:fldChar w:fldCharType="separate"/>
      </w:r>
      <w:r>
        <w:rPr>
          <w:rFonts w:hint="eastAsia" w:ascii="宋体" w:hAnsi="宋体" w:cs="宋体"/>
        </w:rPr>
        <w:t>一、计划工期、项目地点及验收方式</w:t>
      </w:r>
      <w:r>
        <w:tab/>
      </w:r>
      <w:r>
        <w:fldChar w:fldCharType="begin"/>
      </w:r>
      <w:r>
        <w:instrText xml:space="preserve"> PAGEREF _Toc2164 \h </w:instrText>
      </w:r>
      <w:r>
        <w:fldChar w:fldCharType="separate"/>
      </w:r>
      <w:r>
        <w:t>- 8 -</w:t>
      </w:r>
      <w:r>
        <w:fldChar w:fldCharType="end"/>
      </w:r>
      <w:r>
        <w:fldChar w:fldCharType="end"/>
      </w:r>
    </w:p>
    <w:p w14:paraId="648C31DC">
      <w:pPr>
        <w:pStyle w:val="45"/>
        <w:tabs>
          <w:tab w:val="right" w:leader="dot" w:pos="9412"/>
        </w:tabs>
        <w:ind w:left="560"/>
      </w:pPr>
      <w:r>
        <w:fldChar w:fldCharType="begin"/>
      </w:r>
      <w:r>
        <w:instrText xml:space="preserve"> HYPERLINK \l "_Toc2141" </w:instrText>
      </w:r>
      <w:r>
        <w:fldChar w:fldCharType="separate"/>
      </w:r>
      <w:r>
        <w:rPr>
          <w:rFonts w:hint="eastAsia" w:ascii="宋体" w:hAnsi="宋体" w:cs="宋体"/>
        </w:rPr>
        <w:t>二、谈判报价要求</w:t>
      </w:r>
      <w:r>
        <w:tab/>
      </w:r>
      <w:r>
        <w:fldChar w:fldCharType="begin"/>
      </w:r>
      <w:r>
        <w:instrText xml:space="preserve"> PAGEREF _Toc2141 \h </w:instrText>
      </w:r>
      <w:r>
        <w:fldChar w:fldCharType="separate"/>
      </w:r>
      <w:r>
        <w:t>- 8 -</w:t>
      </w:r>
      <w:r>
        <w:fldChar w:fldCharType="end"/>
      </w:r>
      <w:r>
        <w:fldChar w:fldCharType="end"/>
      </w:r>
    </w:p>
    <w:p w14:paraId="2BB47357">
      <w:pPr>
        <w:pStyle w:val="45"/>
        <w:tabs>
          <w:tab w:val="right" w:leader="dot" w:pos="9412"/>
        </w:tabs>
        <w:ind w:left="560"/>
      </w:pPr>
      <w:r>
        <w:fldChar w:fldCharType="begin"/>
      </w:r>
      <w:r>
        <w:instrText xml:space="preserve"> HYPERLINK \l "_Toc24182" </w:instrText>
      </w:r>
      <w:r>
        <w:fldChar w:fldCharType="separate"/>
      </w:r>
      <w:r>
        <w:rPr>
          <w:rFonts w:hint="eastAsia" w:ascii="宋体" w:hAnsi="宋体" w:cs="宋体"/>
          <w:lang w:val="zh-CN"/>
        </w:rPr>
        <w:t>四、质量保障及售后服务</w:t>
      </w:r>
      <w:r>
        <w:tab/>
      </w:r>
      <w:r>
        <w:fldChar w:fldCharType="begin"/>
      </w:r>
      <w:r>
        <w:instrText xml:space="preserve"> PAGEREF _Toc24182 \h </w:instrText>
      </w:r>
      <w:r>
        <w:fldChar w:fldCharType="separate"/>
      </w:r>
      <w:r>
        <w:t>- 9 -</w:t>
      </w:r>
      <w:r>
        <w:fldChar w:fldCharType="end"/>
      </w:r>
      <w:r>
        <w:fldChar w:fldCharType="end"/>
      </w:r>
    </w:p>
    <w:p w14:paraId="19C3F06C">
      <w:pPr>
        <w:pStyle w:val="45"/>
        <w:tabs>
          <w:tab w:val="right" w:leader="dot" w:pos="9412"/>
        </w:tabs>
        <w:ind w:left="560"/>
      </w:pPr>
      <w:r>
        <w:fldChar w:fldCharType="begin"/>
      </w:r>
      <w:r>
        <w:instrText xml:space="preserve"> HYPERLINK \l "_Toc3610" </w:instrText>
      </w:r>
      <w:r>
        <w:fldChar w:fldCharType="separate"/>
      </w:r>
      <w:r>
        <w:rPr>
          <w:rFonts w:hint="eastAsia" w:ascii="宋体" w:hAnsi="宋体" w:cs="宋体"/>
        </w:rPr>
        <w:t>五、付款方式</w:t>
      </w:r>
      <w:r>
        <w:tab/>
      </w:r>
      <w:r>
        <w:fldChar w:fldCharType="begin"/>
      </w:r>
      <w:r>
        <w:instrText xml:space="preserve"> PAGEREF _Toc3610 \h </w:instrText>
      </w:r>
      <w:r>
        <w:fldChar w:fldCharType="separate"/>
      </w:r>
      <w:r>
        <w:t>- 9 -</w:t>
      </w:r>
      <w:r>
        <w:fldChar w:fldCharType="end"/>
      </w:r>
      <w:r>
        <w:fldChar w:fldCharType="end"/>
      </w:r>
    </w:p>
    <w:p w14:paraId="7FAA49F8">
      <w:pPr>
        <w:pStyle w:val="45"/>
        <w:tabs>
          <w:tab w:val="right" w:leader="dot" w:pos="9412"/>
        </w:tabs>
        <w:ind w:left="560"/>
      </w:pPr>
      <w:r>
        <w:fldChar w:fldCharType="begin"/>
      </w:r>
      <w:r>
        <w:instrText xml:space="preserve"> HYPERLINK \l "_Toc3860" </w:instrText>
      </w:r>
      <w:r>
        <w:fldChar w:fldCharType="separate"/>
      </w:r>
      <w:r>
        <w:rPr>
          <w:rFonts w:hint="eastAsia" w:ascii="宋体" w:hAnsi="宋体" w:cs="宋体"/>
        </w:rPr>
        <w:t>六、知识产权</w:t>
      </w:r>
      <w:r>
        <w:tab/>
      </w:r>
      <w:r>
        <w:fldChar w:fldCharType="begin"/>
      </w:r>
      <w:r>
        <w:instrText xml:space="preserve"> PAGEREF _Toc3860 \h </w:instrText>
      </w:r>
      <w:r>
        <w:fldChar w:fldCharType="separate"/>
      </w:r>
      <w:r>
        <w:t>- 10 -</w:t>
      </w:r>
      <w:r>
        <w:fldChar w:fldCharType="end"/>
      </w:r>
      <w:r>
        <w:fldChar w:fldCharType="end"/>
      </w:r>
    </w:p>
    <w:p w14:paraId="6714E17B">
      <w:pPr>
        <w:pStyle w:val="37"/>
        <w:tabs>
          <w:tab w:val="right" w:leader="dot" w:pos="9412"/>
        </w:tabs>
      </w:pPr>
      <w:r>
        <w:fldChar w:fldCharType="begin"/>
      </w:r>
      <w:r>
        <w:instrText xml:space="preserve"> HYPERLINK \l "_Toc11106" </w:instrText>
      </w:r>
      <w:r>
        <w:fldChar w:fldCharType="separate"/>
      </w:r>
      <w:r>
        <w:rPr>
          <w:rFonts w:hint="eastAsia" w:cs="宋体"/>
          <w:bCs/>
        </w:rPr>
        <w:t>第四篇  采购程序、评定成交的标准、无效谈判及采购终止</w:t>
      </w:r>
      <w:r>
        <w:tab/>
      </w:r>
      <w:r>
        <w:fldChar w:fldCharType="begin"/>
      </w:r>
      <w:r>
        <w:instrText xml:space="preserve"> PAGEREF _Toc11106 \h </w:instrText>
      </w:r>
      <w:r>
        <w:fldChar w:fldCharType="separate"/>
      </w:r>
      <w:r>
        <w:t>- 11 -</w:t>
      </w:r>
      <w:r>
        <w:fldChar w:fldCharType="end"/>
      </w:r>
      <w:r>
        <w:fldChar w:fldCharType="end"/>
      </w:r>
    </w:p>
    <w:p w14:paraId="2AA0A835">
      <w:pPr>
        <w:pStyle w:val="45"/>
        <w:tabs>
          <w:tab w:val="right" w:leader="dot" w:pos="9412"/>
        </w:tabs>
        <w:ind w:left="560"/>
      </w:pPr>
      <w:r>
        <w:fldChar w:fldCharType="begin"/>
      </w:r>
      <w:r>
        <w:instrText xml:space="preserve"> HYPERLINK \l "_Toc19446" </w:instrText>
      </w:r>
      <w:r>
        <w:fldChar w:fldCharType="separate"/>
      </w:r>
      <w:r>
        <w:rPr>
          <w:rFonts w:hint="eastAsia" w:ascii="宋体" w:hAnsi="宋体" w:cs="宋体"/>
        </w:rPr>
        <w:t>一、采购程序</w:t>
      </w:r>
      <w:r>
        <w:tab/>
      </w:r>
      <w:r>
        <w:fldChar w:fldCharType="begin"/>
      </w:r>
      <w:r>
        <w:instrText xml:space="preserve"> PAGEREF _Toc19446 \h </w:instrText>
      </w:r>
      <w:r>
        <w:fldChar w:fldCharType="separate"/>
      </w:r>
      <w:r>
        <w:t>- 11 -</w:t>
      </w:r>
      <w:r>
        <w:fldChar w:fldCharType="end"/>
      </w:r>
      <w:r>
        <w:fldChar w:fldCharType="end"/>
      </w:r>
    </w:p>
    <w:p w14:paraId="74687EAA">
      <w:pPr>
        <w:pStyle w:val="45"/>
        <w:tabs>
          <w:tab w:val="right" w:leader="dot" w:pos="9412"/>
        </w:tabs>
        <w:ind w:left="560"/>
      </w:pPr>
      <w:r>
        <w:fldChar w:fldCharType="begin"/>
      </w:r>
      <w:r>
        <w:instrText xml:space="preserve"> HYPERLINK \l "_Toc20525" </w:instrText>
      </w:r>
      <w:r>
        <w:fldChar w:fldCharType="separate"/>
      </w:r>
      <w:r>
        <w:rPr>
          <w:rFonts w:hint="eastAsia" w:ascii="宋体" w:hAnsi="宋体" w:cs="宋体"/>
        </w:rPr>
        <w:t>二、评定成交的标准</w:t>
      </w:r>
      <w:r>
        <w:tab/>
      </w:r>
      <w:r>
        <w:fldChar w:fldCharType="begin"/>
      </w:r>
      <w:r>
        <w:instrText xml:space="preserve"> PAGEREF _Toc20525 \h </w:instrText>
      </w:r>
      <w:r>
        <w:fldChar w:fldCharType="separate"/>
      </w:r>
      <w:r>
        <w:t>- 13 -</w:t>
      </w:r>
      <w:r>
        <w:fldChar w:fldCharType="end"/>
      </w:r>
      <w:r>
        <w:fldChar w:fldCharType="end"/>
      </w:r>
    </w:p>
    <w:p w14:paraId="56BEEA34">
      <w:pPr>
        <w:pStyle w:val="45"/>
        <w:tabs>
          <w:tab w:val="right" w:leader="dot" w:pos="9412"/>
        </w:tabs>
        <w:ind w:left="560"/>
      </w:pPr>
      <w:r>
        <w:fldChar w:fldCharType="begin"/>
      </w:r>
      <w:r>
        <w:instrText xml:space="preserve"> HYPERLINK \l "_Toc32350" </w:instrText>
      </w:r>
      <w:r>
        <w:fldChar w:fldCharType="separate"/>
      </w:r>
      <w:r>
        <w:rPr>
          <w:rFonts w:hint="eastAsia" w:ascii="宋体" w:hAnsi="宋体" w:cs="宋体"/>
        </w:rPr>
        <w:t>三、无效谈判</w:t>
      </w:r>
      <w:r>
        <w:tab/>
      </w:r>
      <w:r>
        <w:fldChar w:fldCharType="begin"/>
      </w:r>
      <w:r>
        <w:instrText xml:space="preserve"> PAGEREF _Toc32350 \h </w:instrText>
      </w:r>
      <w:r>
        <w:fldChar w:fldCharType="separate"/>
      </w:r>
      <w:r>
        <w:t>- 14 -</w:t>
      </w:r>
      <w:r>
        <w:fldChar w:fldCharType="end"/>
      </w:r>
      <w:r>
        <w:fldChar w:fldCharType="end"/>
      </w:r>
    </w:p>
    <w:p w14:paraId="4FF1BDBB">
      <w:pPr>
        <w:pStyle w:val="45"/>
        <w:tabs>
          <w:tab w:val="right" w:leader="dot" w:pos="9412"/>
        </w:tabs>
        <w:ind w:left="560"/>
      </w:pPr>
      <w:r>
        <w:fldChar w:fldCharType="begin"/>
      </w:r>
      <w:r>
        <w:instrText xml:space="preserve"> HYPERLINK \l "_Toc15674" </w:instrText>
      </w:r>
      <w:r>
        <w:fldChar w:fldCharType="separate"/>
      </w:r>
      <w:r>
        <w:rPr>
          <w:rFonts w:hint="eastAsia" w:ascii="宋体" w:hAnsi="宋体" w:cs="宋体"/>
        </w:rPr>
        <w:t>四、采购终止</w:t>
      </w:r>
      <w:r>
        <w:tab/>
      </w:r>
      <w:r>
        <w:fldChar w:fldCharType="begin"/>
      </w:r>
      <w:r>
        <w:instrText xml:space="preserve"> PAGEREF _Toc15674 \h </w:instrText>
      </w:r>
      <w:r>
        <w:fldChar w:fldCharType="separate"/>
      </w:r>
      <w:r>
        <w:t>- 14 -</w:t>
      </w:r>
      <w:r>
        <w:fldChar w:fldCharType="end"/>
      </w:r>
      <w:r>
        <w:fldChar w:fldCharType="end"/>
      </w:r>
    </w:p>
    <w:p w14:paraId="5F7AE5A8">
      <w:pPr>
        <w:pStyle w:val="37"/>
        <w:tabs>
          <w:tab w:val="right" w:leader="dot" w:pos="9412"/>
        </w:tabs>
      </w:pPr>
      <w:r>
        <w:fldChar w:fldCharType="begin"/>
      </w:r>
      <w:r>
        <w:instrText xml:space="preserve"> HYPERLINK \l "_Toc30347" </w:instrText>
      </w:r>
      <w:r>
        <w:fldChar w:fldCharType="separate"/>
      </w:r>
      <w:r>
        <w:rPr>
          <w:rFonts w:hint="eastAsia" w:cs="宋体"/>
          <w:bCs/>
        </w:rPr>
        <w:t>第五篇  供应商须知</w:t>
      </w:r>
      <w:r>
        <w:tab/>
      </w:r>
      <w:r>
        <w:fldChar w:fldCharType="begin"/>
      </w:r>
      <w:r>
        <w:instrText xml:space="preserve"> PAGEREF _Toc30347 \h </w:instrText>
      </w:r>
      <w:r>
        <w:fldChar w:fldCharType="separate"/>
      </w:r>
      <w:r>
        <w:t>- 15 -</w:t>
      </w:r>
      <w:r>
        <w:fldChar w:fldCharType="end"/>
      </w:r>
      <w:r>
        <w:fldChar w:fldCharType="end"/>
      </w:r>
    </w:p>
    <w:p w14:paraId="5206BD26">
      <w:pPr>
        <w:pStyle w:val="45"/>
        <w:tabs>
          <w:tab w:val="right" w:leader="dot" w:pos="9412"/>
        </w:tabs>
        <w:ind w:left="560"/>
      </w:pPr>
      <w:r>
        <w:fldChar w:fldCharType="begin"/>
      </w:r>
      <w:r>
        <w:instrText xml:space="preserve"> HYPERLINK \l "_Toc12893" </w:instrText>
      </w:r>
      <w:r>
        <w:fldChar w:fldCharType="separate"/>
      </w:r>
      <w:r>
        <w:rPr>
          <w:rFonts w:hint="eastAsia" w:ascii="宋体" w:hAnsi="宋体" w:cs="宋体"/>
        </w:rPr>
        <w:t>一、谈判费用</w:t>
      </w:r>
      <w:r>
        <w:tab/>
      </w:r>
      <w:r>
        <w:fldChar w:fldCharType="begin"/>
      </w:r>
      <w:r>
        <w:instrText xml:space="preserve"> PAGEREF _Toc12893 \h </w:instrText>
      </w:r>
      <w:r>
        <w:fldChar w:fldCharType="separate"/>
      </w:r>
      <w:r>
        <w:t>- 15 -</w:t>
      </w:r>
      <w:r>
        <w:fldChar w:fldCharType="end"/>
      </w:r>
      <w:r>
        <w:fldChar w:fldCharType="end"/>
      </w:r>
    </w:p>
    <w:p w14:paraId="4FF5EF2D">
      <w:pPr>
        <w:pStyle w:val="45"/>
        <w:tabs>
          <w:tab w:val="right" w:leader="dot" w:pos="9412"/>
        </w:tabs>
        <w:ind w:left="560"/>
      </w:pPr>
      <w:r>
        <w:fldChar w:fldCharType="begin"/>
      </w:r>
      <w:r>
        <w:instrText xml:space="preserve"> HYPERLINK \l "_Toc11079" </w:instrText>
      </w:r>
      <w:r>
        <w:fldChar w:fldCharType="separate"/>
      </w:r>
      <w:r>
        <w:rPr>
          <w:rFonts w:hint="eastAsia" w:ascii="宋体" w:hAnsi="宋体" w:cs="宋体"/>
        </w:rPr>
        <w:t>二、竞争性谈判文件</w:t>
      </w:r>
      <w:r>
        <w:tab/>
      </w:r>
      <w:r>
        <w:fldChar w:fldCharType="begin"/>
      </w:r>
      <w:r>
        <w:instrText xml:space="preserve"> PAGEREF _Toc11079 \h </w:instrText>
      </w:r>
      <w:r>
        <w:fldChar w:fldCharType="separate"/>
      </w:r>
      <w:r>
        <w:t>- 15 -</w:t>
      </w:r>
      <w:r>
        <w:fldChar w:fldCharType="end"/>
      </w:r>
      <w:r>
        <w:fldChar w:fldCharType="end"/>
      </w:r>
    </w:p>
    <w:p w14:paraId="599E16A2">
      <w:pPr>
        <w:pStyle w:val="45"/>
        <w:tabs>
          <w:tab w:val="right" w:leader="dot" w:pos="9412"/>
        </w:tabs>
        <w:ind w:left="560"/>
      </w:pPr>
      <w:r>
        <w:fldChar w:fldCharType="begin"/>
      </w:r>
      <w:r>
        <w:instrText xml:space="preserve"> HYPERLINK \l "_Toc20568" </w:instrText>
      </w:r>
      <w:r>
        <w:fldChar w:fldCharType="separate"/>
      </w:r>
      <w:r>
        <w:rPr>
          <w:rFonts w:hint="eastAsia" w:ascii="宋体" w:hAnsi="宋体" w:cs="宋体"/>
        </w:rPr>
        <w:t>三、谈判要求</w:t>
      </w:r>
      <w:r>
        <w:tab/>
      </w:r>
      <w:r>
        <w:fldChar w:fldCharType="begin"/>
      </w:r>
      <w:r>
        <w:instrText xml:space="preserve"> PAGEREF _Toc20568 \h </w:instrText>
      </w:r>
      <w:r>
        <w:fldChar w:fldCharType="separate"/>
      </w:r>
      <w:r>
        <w:t>- 15 -</w:t>
      </w:r>
      <w:r>
        <w:fldChar w:fldCharType="end"/>
      </w:r>
      <w:r>
        <w:fldChar w:fldCharType="end"/>
      </w:r>
    </w:p>
    <w:p w14:paraId="59E1EAEB">
      <w:pPr>
        <w:pStyle w:val="45"/>
        <w:tabs>
          <w:tab w:val="right" w:leader="dot" w:pos="9412"/>
        </w:tabs>
        <w:ind w:left="560"/>
      </w:pPr>
      <w:r>
        <w:fldChar w:fldCharType="begin"/>
      </w:r>
      <w:r>
        <w:instrText xml:space="preserve"> HYPERLINK \l "_Toc13032" </w:instrText>
      </w:r>
      <w:r>
        <w:fldChar w:fldCharType="separate"/>
      </w:r>
      <w:r>
        <w:rPr>
          <w:rFonts w:hint="eastAsia" w:ascii="宋体" w:hAnsi="宋体" w:cs="宋体"/>
        </w:rPr>
        <w:t>四、成交供应商的确定和变更</w:t>
      </w:r>
      <w:r>
        <w:tab/>
      </w:r>
      <w:r>
        <w:fldChar w:fldCharType="begin"/>
      </w:r>
      <w:r>
        <w:instrText xml:space="preserve"> PAGEREF _Toc13032 \h </w:instrText>
      </w:r>
      <w:r>
        <w:fldChar w:fldCharType="separate"/>
      </w:r>
      <w:r>
        <w:t>- 16 -</w:t>
      </w:r>
      <w:r>
        <w:fldChar w:fldCharType="end"/>
      </w:r>
      <w:r>
        <w:fldChar w:fldCharType="end"/>
      </w:r>
    </w:p>
    <w:p w14:paraId="1F70226D">
      <w:pPr>
        <w:pStyle w:val="45"/>
        <w:tabs>
          <w:tab w:val="right" w:leader="dot" w:pos="9412"/>
        </w:tabs>
        <w:ind w:left="560"/>
      </w:pPr>
      <w:r>
        <w:fldChar w:fldCharType="begin"/>
      </w:r>
      <w:r>
        <w:instrText xml:space="preserve"> HYPERLINK \l "_Toc21084" </w:instrText>
      </w:r>
      <w:r>
        <w:fldChar w:fldCharType="separate"/>
      </w:r>
      <w:r>
        <w:rPr>
          <w:rFonts w:hint="eastAsia" w:ascii="宋体" w:hAnsi="宋体" w:cs="宋体"/>
        </w:rPr>
        <w:t>五、成交通知</w:t>
      </w:r>
      <w:r>
        <w:tab/>
      </w:r>
      <w:r>
        <w:fldChar w:fldCharType="begin"/>
      </w:r>
      <w:r>
        <w:instrText xml:space="preserve"> PAGEREF _Toc21084 \h </w:instrText>
      </w:r>
      <w:r>
        <w:fldChar w:fldCharType="separate"/>
      </w:r>
      <w:r>
        <w:t>- 17 -</w:t>
      </w:r>
      <w:r>
        <w:fldChar w:fldCharType="end"/>
      </w:r>
      <w:r>
        <w:fldChar w:fldCharType="end"/>
      </w:r>
    </w:p>
    <w:p w14:paraId="0B47E20C">
      <w:pPr>
        <w:pStyle w:val="45"/>
        <w:tabs>
          <w:tab w:val="right" w:leader="dot" w:pos="9412"/>
        </w:tabs>
        <w:ind w:left="560"/>
      </w:pPr>
      <w:r>
        <w:fldChar w:fldCharType="begin"/>
      </w:r>
      <w:r>
        <w:instrText xml:space="preserve"> HYPERLINK \l "_Toc10568" </w:instrText>
      </w:r>
      <w:r>
        <w:fldChar w:fldCharType="separate"/>
      </w:r>
      <w:r>
        <w:rPr>
          <w:rFonts w:hint="eastAsia" w:ascii="宋体" w:hAnsi="宋体" w:cs="宋体"/>
        </w:rPr>
        <w:t>六、关于询问、质疑和投诉</w:t>
      </w:r>
      <w:r>
        <w:tab/>
      </w:r>
      <w:r>
        <w:fldChar w:fldCharType="begin"/>
      </w:r>
      <w:r>
        <w:instrText xml:space="preserve"> PAGEREF _Toc10568 \h </w:instrText>
      </w:r>
      <w:r>
        <w:fldChar w:fldCharType="separate"/>
      </w:r>
      <w:r>
        <w:t>- 17 -</w:t>
      </w:r>
      <w:r>
        <w:fldChar w:fldCharType="end"/>
      </w:r>
      <w:r>
        <w:fldChar w:fldCharType="end"/>
      </w:r>
    </w:p>
    <w:p w14:paraId="71DAC2F3">
      <w:pPr>
        <w:pStyle w:val="45"/>
        <w:tabs>
          <w:tab w:val="right" w:leader="dot" w:pos="9412"/>
        </w:tabs>
        <w:ind w:left="560"/>
      </w:pPr>
      <w:r>
        <w:fldChar w:fldCharType="begin"/>
      </w:r>
      <w:r>
        <w:instrText xml:space="preserve"> HYPERLINK \l "_Toc9375" </w:instrText>
      </w:r>
      <w:r>
        <w:fldChar w:fldCharType="separate"/>
      </w:r>
      <w:r>
        <w:rPr>
          <w:rFonts w:hint="eastAsia" w:ascii="宋体" w:hAnsi="宋体" w:cs="宋体"/>
        </w:rPr>
        <w:t>七、签订合同</w:t>
      </w:r>
      <w:r>
        <w:tab/>
      </w:r>
      <w:r>
        <w:fldChar w:fldCharType="begin"/>
      </w:r>
      <w:r>
        <w:instrText xml:space="preserve"> PAGEREF _Toc9375 \h </w:instrText>
      </w:r>
      <w:r>
        <w:fldChar w:fldCharType="separate"/>
      </w:r>
      <w:r>
        <w:t>- 18 -</w:t>
      </w:r>
      <w:r>
        <w:fldChar w:fldCharType="end"/>
      </w:r>
      <w:r>
        <w:fldChar w:fldCharType="end"/>
      </w:r>
    </w:p>
    <w:p w14:paraId="08741035">
      <w:pPr>
        <w:pStyle w:val="45"/>
        <w:tabs>
          <w:tab w:val="right" w:leader="dot" w:pos="9412"/>
        </w:tabs>
        <w:ind w:left="560"/>
      </w:pPr>
      <w:r>
        <w:fldChar w:fldCharType="begin"/>
      </w:r>
      <w:r>
        <w:instrText xml:space="preserve"> HYPERLINK \l "_Toc4731" </w:instrText>
      </w:r>
      <w:r>
        <w:fldChar w:fldCharType="separate"/>
      </w:r>
      <w:r>
        <w:rPr>
          <w:rFonts w:hint="eastAsia" w:ascii="宋体" w:hAnsi="宋体" w:cs="宋体"/>
        </w:rPr>
        <w:t>八、项目验收</w:t>
      </w:r>
      <w:r>
        <w:tab/>
      </w:r>
      <w:r>
        <w:fldChar w:fldCharType="begin"/>
      </w:r>
      <w:r>
        <w:instrText xml:space="preserve"> PAGEREF _Toc4731 \h </w:instrText>
      </w:r>
      <w:r>
        <w:fldChar w:fldCharType="separate"/>
      </w:r>
      <w:r>
        <w:t>- 18 -</w:t>
      </w:r>
      <w:r>
        <w:fldChar w:fldCharType="end"/>
      </w:r>
      <w:r>
        <w:fldChar w:fldCharType="end"/>
      </w:r>
    </w:p>
    <w:p w14:paraId="404B4EC7">
      <w:pPr>
        <w:pStyle w:val="37"/>
        <w:tabs>
          <w:tab w:val="right" w:leader="dot" w:pos="9412"/>
        </w:tabs>
      </w:pPr>
      <w:r>
        <w:fldChar w:fldCharType="begin"/>
      </w:r>
      <w:r>
        <w:instrText xml:space="preserve"> HYPERLINK \l "_Toc18611" </w:instrText>
      </w:r>
      <w:r>
        <w:fldChar w:fldCharType="separate"/>
      </w:r>
      <w:r>
        <w:rPr>
          <w:rFonts w:hint="eastAsia" w:cs="宋体"/>
          <w:bCs/>
        </w:rPr>
        <w:t xml:space="preserve">第六篇 </w:t>
      </w:r>
      <w:r>
        <w:tab/>
      </w:r>
      <w:r>
        <w:fldChar w:fldCharType="begin"/>
      </w:r>
      <w:r>
        <w:instrText xml:space="preserve"> PAGEREF _Toc18611 \h </w:instrText>
      </w:r>
      <w:r>
        <w:fldChar w:fldCharType="separate"/>
      </w:r>
      <w:r>
        <w:t>- 19 -</w:t>
      </w:r>
      <w:r>
        <w:fldChar w:fldCharType="end"/>
      </w:r>
      <w:r>
        <w:fldChar w:fldCharType="end"/>
      </w:r>
    </w:p>
    <w:p w14:paraId="563290C0">
      <w:pPr>
        <w:pStyle w:val="37"/>
        <w:tabs>
          <w:tab w:val="right" w:leader="dot" w:pos="9412"/>
        </w:tabs>
      </w:pPr>
      <w:r>
        <w:fldChar w:fldCharType="begin"/>
      </w:r>
      <w:r>
        <w:instrText xml:space="preserve"> HYPERLINK \l "_Toc2133" </w:instrText>
      </w:r>
      <w:r>
        <w:fldChar w:fldCharType="separate"/>
      </w:r>
      <w:r>
        <w:rPr>
          <w:rFonts w:hint="eastAsia" w:cs="宋体"/>
          <w:bCs/>
        </w:rPr>
        <w:t>第七篇 合同草案条款</w:t>
      </w:r>
      <w:r>
        <w:tab/>
      </w:r>
      <w:r>
        <w:fldChar w:fldCharType="begin"/>
      </w:r>
      <w:r>
        <w:instrText xml:space="preserve"> PAGEREF _Toc2133 \h </w:instrText>
      </w:r>
      <w:r>
        <w:fldChar w:fldCharType="separate"/>
      </w:r>
      <w:r>
        <w:t>- 19 -</w:t>
      </w:r>
      <w:r>
        <w:fldChar w:fldCharType="end"/>
      </w:r>
      <w:r>
        <w:fldChar w:fldCharType="end"/>
      </w:r>
    </w:p>
    <w:p w14:paraId="42481172">
      <w:pPr>
        <w:pStyle w:val="37"/>
        <w:tabs>
          <w:tab w:val="right" w:leader="dot" w:pos="9412"/>
        </w:tabs>
      </w:pPr>
      <w:r>
        <w:fldChar w:fldCharType="begin"/>
      </w:r>
      <w:r>
        <w:instrText xml:space="preserve"> HYPERLINK \l "_Toc15743" </w:instrText>
      </w:r>
      <w:r>
        <w:fldChar w:fldCharType="separate"/>
      </w:r>
      <w:r>
        <w:rPr>
          <w:rFonts w:hint="eastAsia" w:cs="宋体"/>
          <w:bCs/>
        </w:rPr>
        <w:t>第七篇  响应文件格式要求</w:t>
      </w:r>
      <w:r>
        <w:tab/>
      </w:r>
      <w:r>
        <w:fldChar w:fldCharType="begin"/>
      </w:r>
      <w:r>
        <w:instrText xml:space="preserve"> PAGEREF _Toc15743 \h </w:instrText>
      </w:r>
      <w:r>
        <w:fldChar w:fldCharType="separate"/>
      </w:r>
      <w:r>
        <w:t>- 21 -</w:t>
      </w:r>
      <w:r>
        <w:fldChar w:fldCharType="end"/>
      </w:r>
      <w:r>
        <w:fldChar w:fldCharType="end"/>
      </w:r>
    </w:p>
    <w:p w14:paraId="688C894E">
      <w:pPr>
        <w:pStyle w:val="45"/>
        <w:tabs>
          <w:tab w:val="right" w:leader="dot" w:pos="9412"/>
        </w:tabs>
        <w:ind w:left="560"/>
      </w:pPr>
      <w:r>
        <w:fldChar w:fldCharType="begin"/>
      </w:r>
      <w:r>
        <w:instrText xml:space="preserve"> HYPERLINK \l "_Toc12541" </w:instrText>
      </w:r>
      <w:r>
        <w:fldChar w:fldCharType="separate"/>
      </w:r>
      <w:r>
        <w:rPr>
          <w:rFonts w:hint="eastAsia" w:ascii="宋体" w:hAnsi="宋体" w:cs="宋体"/>
        </w:rPr>
        <w:t>一、经济部分</w:t>
      </w:r>
      <w:r>
        <w:tab/>
      </w:r>
      <w:r>
        <w:fldChar w:fldCharType="begin"/>
      </w:r>
      <w:r>
        <w:instrText xml:space="preserve"> PAGEREF _Toc12541 \h </w:instrText>
      </w:r>
      <w:r>
        <w:fldChar w:fldCharType="separate"/>
      </w:r>
      <w:r>
        <w:t>- 22 -</w:t>
      </w:r>
      <w:r>
        <w:fldChar w:fldCharType="end"/>
      </w:r>
      <w:r>
        <w:fldChar w:fldCharType="end"/>
      </w:r>
    </w:p>
    <w:p w14:paraId="137D1A50">
      <w:pPr>
        <w:pStyle w:val="45"/>
        <w:tabs>
          <w:tab w:val="right" w:leader="dot" w:pos="9412"/>
        </w:tabs>
        <w:ind w:left="560"/>
      </w:pPr>
      <w:r>
        <w:fldChar w:fldCharType="begin"/>
      </w:r>
      <w:r>
        <w:instrText xml:space="preserve"> HYPERLINK \l "_Toc4102" </w:instrText>
      </w:r>
      <w:r>
        <w:fldChar w:fldCharType="separate"/>
      </w:r>
      <w:r>
        <w:rPr>
          <w:rFonts w:hint="eastAsia" w:ascii="宋体" w:hAnsi="宋体" w:cs="宋体"/>
        </w:rPr>
        <w:t>二、服务部分</w:t>
      </w:r>
      <w:r>
        <w:tab/>
      </w:r>
      <w:r>
        <w:fldChar w:fldCharType="begin"/>
      </w:r>
      <w:r>
        <w:instrText xml:space="preserve"> PAGEREF _Toc4102 \h </w:instrText>
      </w:r>
      <w:r>
        <w:fldChar w:fldCharType="separate"/>
      </w:r>
      <w:r>
        <w:t>- 24 -</w:t>
      </w:r>
      <w:r>
        <w:fldChar w:fldCharType="end"/>
      </w:r>
      <w:r>
        <w:fldChar w:fldCharType="end"/>
      </w:r>
    </w:p>
    <w:p w14:paraId="1D233567">
      <w:pPr>
        <w:pStyle w:val="45"/>
        <w:tabs>
          <w:tab w:val="right" w:leader="dot" w:pos="9412"/>
        </w:tabs>
        <w:ind w:left="560"/>
      </w:pPr>
      <w:r>
        <w:fldChar w:fldCharType="begin"/>
      </w:r>
      <w:r>
        <w:instrText xml:space="preserve"> HYPERLINK \l "_Toc12051" </w:instrText>
      </w:r>
      <w:r>
        <w:fldChar w:fldCharType="separate"/>
      </w:r>
      <w:r>
        <w:rPr>
          <w:rFonts w:hint="eastAsia" w:ascii="宋体" w:hAnsi="宋体" w:cs="宋体"/>
        </w:rPr>
        <w:t>三、商务部分</w:t>
      </w:r>
      <w:r>
        <w:tab/>
      </w:r>
      <w:r>
        <w:fldChar w:fldCharType="begin"/>
      </w:r>
      <w:r>
        <w:instrText xml:space="preserve"> PAGEREF _Toc12051 \h </w:instrText>
      </w:r>
      <w:r>
        <w:fldChar w:fldCharType="separate"/>
      </w:r>
      <w:r>
        <w:t>- 26 -</w:t>
      </w:r>
      <w:r>
        <w:fldChar w:fldCharType="end"/>
      </w:r>
      <w:r>
        <w:fldChar w:fldCharType="end"/>
      </w:r>
    </w:p>
    <w:p w14:paraId="12DDF4AD">
      <w:pPr>
        <w:pStyle w:val="45"/>
        <w:tabs>
          <w:tab w:val="right" w:leader="dot" w:pos="9412"/>
        </w:tabs>
        <w:ind w:left="560"/>
      </w:pPr>
      <w:r>
        <w:fldChar w:fldCharType="begin"/>
      </w:r>
      <w:r>
        <w:instrText xml:space="preserve"> HYPERLINK \l "_Toc9057" </w:instrText>
      </w:r>
      <w:r>
        <w:fldChar w:fldCharType="separate"/>
      </w:r>
      <w:r>
        <w:rPr>
          <w:rFonts w:hint="eastAsia" w:ascii="宋体" w:hAnsi="宋体" w:cs="宋体"/>
        </w:rPr>
        <w:t>四、资格条件及其他</w:t>
      </w:r>
      <w:r>
        <w:tab/>
      </w:r>
      <w:r>
        <w:fldChar w:fldCharType="begin"/>
      </w:r>
      <w:r>
        <w:instrText xml:space="preserve"> PAGEREF _Toc9057 \h </w:instrText>
      </w:r>
      <w:r>
        <w:fldChar w:fldCharType="separate"/>
      </w:r>
      <w:r>
        <w:t>- 28 -</w:t>
      </w:r>
      <w:r>
        <w:fldChar w:fldCharType="end"/>
      </w:r>
      <w:r>
        <w:fldChar w:fldCharType="end"/>
      </w:r>
    </w:p>
    <w:p w14:paraId="16EEB1E5">
      <w:pPr>
        <w:pStyle w:val="45"/>
        <w:tabs>
          <w:tab w:val="right" w:leader="dot" w:pos="9412"/>
        </w:tabs>
        <w:ind w:left="560"/>
      </w:pPr>
      <w:r>
        <w:fldChar w:fldCharType="begin"/>
      </w:r>
      <w:r>
        <w:instrText xml:space="preserve"> HYPERLINK \l "_Toc71" </w:instrText>
      </w:r>
      <w:r>
        <w:fldChar w:fldCharType="separate"/>
      </w:r>
      <w:r>
        <w:rPr>
          <w:rFonts w:hint="eastAsia" w:ascii="宋体" w:hAnsi="宋体" w:cs="宋体"/>
        </w:rPr>
        <w:t>五、其他资料</w:t>
      </w:r>
      <w:r>
        <w:tab/>
      </w:r>
      <w:r>
        <w:fldChar w:fldCharType="begin"/>
      </w:r>
      <w:r>
        <w:instrText xml:space="preserve"> PAGEREF _Toc71 \h </w:instrText>
      </w:r>
      <w:r>
        <w:fldChar w:fldCharType="separate"/>
      </w:r>
      <w:r>
        <w:t>- 33 -</w:t>
      </w:r>
      <w:r>
        <w:fldChar w:fldCharType="end"/>
      </w:r>
      <w:r>
        <w:fldChar w:fldCharType="end"/>
      </w:r>
    </w:p>
    <w:p w14:paraId="1216E32C">
      <w:pPr>
        <w:pStyle w:val="45"/>
        <w:tabs>
          <w:tab w:val="right" w:leader="dot" w:pos="9402"/>
        </w:tabs>
        <w:spacing w:line="480" w:lineRule="exact"/>
        <w:ind w:left="560"/>
        <w:rPr>
          <w:rFonts w:ascii="方正仿宋_GBK" w:hAnsi="Calibri" w:eastAsia="方正仿宋_GBK"/>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rPr>
        <w:fldChar w:fldCharType="end"/>
      </w:r>
    </w:p>
    <w:p w14:paraId="1E169FAD">
      <w:pPr>
        <w:pStyle w:val="2"/>
        <w:rPr>
          <w:rFonts w:cs="宋体"/>
          <w:bCs/>
        </w:rPr>
      </w:pPr>
      <w:bookmarkStart w:id="0" w:name="_Toc11641050"/>
      <w:bookmarkStart w:id="1" w:name="_Toc6057"/>
      <w:bookmarkStart w:id="2" w:name="_Toc23119"/>
      <w:bookmarkStart w:id="3" w:name="_Toc24173"/>
      <w:bookmarkStart w:id="4" w:name="_Toc65660329"/>
      <w:bookmarkStart w:id="5" w:name="_Toc15726"/>
      <w:bookmarkStart w:id="6" w:name="_Toc17198"/>
      <w:bookmarkStart w:id="7" w:name="_Toc12789052"/>
      <w:bookmarkStart w:id="8" w:name="_Toc14988"/>
      <w:r>
        <w:rPr>
          <w:rFonts w:hint="eastAsia" w:cs="宋体"/>
          <w:bCs/>
        </w:rPr>
        <w:t>第一篇  竞争性谈判邀请书</w:t>
      </w:r>
      <w:bookmarkEnd w:id="0"/>
      <w:bookmarkEnd w:id="1"/>
      <w:bookmarkEnd w:id="2"/>
      <w:bookmarkEnd w:id="3"/>
      <w:bookmarkEnd w:id="4"/>
      <w:bookmarkEnd w:id="5"/>
      <w:bookmarkEnd w:id="6"/>
      <w:bookmarkEnd w:id="7"/>
      <w:bookmarkEnd w:id="8"/>
    </w:p>
    <w:p w14:paraId="20747843">
      <w:pPr>
        <w:snapToGrid w:val="0"/>
        <w:spacing w:line="400" w:lineRule="exact"/>
        <w:ind w:firstLine="480" w:firstLineChars="200"/>
        <w:rPr>
          <w:rFonts w:ascii="宋体" w:hAnsi="宋体" w:cs="宋体"/>
          <w:sz w:val="24"/>
          <w:szCs w:val="24"/>
        </w:rPr>
      </w:pPr>
      <w:r>
        <w:rPr>
          <w:rFonts w:hint="eastAsia" w:ascii="宋体" w:hAnsi="宋体" w:cs="宋体"/>
          <w:sz w:val="24"/>
          <w:szCs w:val="24"/>
        </w:rPr>
        <w:t>重庆市黔江区民族职业教育中心拟对警务室建设项目进行竞争性谈判采购。欢迎有资格的供应商前来参加谈判。</w:t>
      </w:r>
    </w:p>
    <w:p w14:paraId="7D3F71A4">
      <w:pPr>
        <w:pStyle w:val="3"/>
        <w:adjustRightInd w:val="0"/>
        <w:snapToGrid w:val="0"/>
        <w:spacing w:before="0" w:after="0" w:line="400" w:lineRule="exact"/>
        <w:ind w:firstLine="482" w:firstLineChars="200"/>
        <w:rPr>
          <w:rFonts w:ascii="宋体" w:hAnsi="宋体" w:cs="宋体"/>
        </w:rPr>
      </w:pPr>
      <w:bookmarkStart w:id="9" w:name="_Toc20832"/>
      <w:bookmarkStart w:id="10" w:name="_Toc317775175"/>
      <w:bookmarkStart w:id="11" w:name="_Toc28329"/>
      <w:bookmarkStart w:id="12" w:name="_Toc65660330"/>
      <w:bookmarkStart w:id="13" w:name="_Toc9733"/>
      <w:bookmarkStart w:id="14" w:name="_Toc18246"/>
      <w:bookmarkStart w:id="15" w:name="_Toc5553"/>
      <w:bookmarkStart w:id="16" w:name="_Toc7758"/>
      <w:bookmarkStart w:id="17" w:name="_Toc313893526"/>
      <w:r>
        <w:rPr>
          <w:rFonts w:hint="eastAsia" w:ascii="宋体" w:hAnsi="宋体" w:cs="宋体"/>
        </w:rPr>
        <w:t>一、竞争性谈判内容</w:t>
      </w:r>
      <w:bookmarkEnd w:id="9"/>
      <w:bookmarkEnd w:id="10"/>
      <w:bookmarkEnd w:id="11"/>
      <w:bookmarkEnd w:id="12"/>
      <w:bookmarkEnd w:id="13"/>
      <w:bookmarkEnd w:id="14"/>
      <w:bookmarkEnd w:id="15"/>
      <w:bookmarkEnd w:id="16"/>
      <w:bookmarkEnd w:id="17"/>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93"/>
        <w:gridCol w:w="1277"/>
        <w:gridCol w:w="1417"/>
        <w:gridCol w:w="1829"/>
        <w:gridCol w:w="2446"/>
      </w:tblGrid>
      <w:tr w14:paraId="50C4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6" w:type="dxa"/>
            <w:tcBorders>
              <w:top w:val="single" w:color="auto" w:sz="4" w:space="0"/>
              <w:left w:val="single" w:color="auto" w:sz="4" w:space="0"/>
              <w:right w:val="single" w:color="auto" w:sz="4" w:space="0"/>
            </w:tcBorders>
            <w:vAlign w:val="center"/>
          </w:tcPr>
          <w:p w14:paraId="44342C57">
            <w:pPr>
              <w:widowControl/>
              <w:jc w:val="center"/>
              <w:rPr>
                <w:rFonts w:ascii="宋体" w:hAnsi="宋体" w:cs="宋体"/>
                <w:b/>
                <w:bCs/>
                <w:kern w:val="0"/>
                <w:sz w:val="21"/>
                <w:szCs w:val="24"/>
              </w:rPr>
            </w:pPr>
            <w:r>
              <w:rPr>
                <w:rFonts w:hint="eastAsia" w:ascii="宋体" w:hAnsi="宋体" w:cs="宋体"/>
                <w:b/>
                <w:bCs/>
                <w:kern w:val="0"/>
                <w:sz w:val="21"/>
                <w:szCs w:val="24"/>
              </w:rPr>
              <w:t>序号</w:t>
            </w:r>
          </w:p>
        </w:tc>
        <w:tc>
          <w:tcPr>
            <w:tcW w:w="1893" w:type="dxa"/>
            <w:tcBorders>
              <w:top w:val="single" w:color="auto" w:sz="4" w:space="0"/>
              <w:left w:val="single" w:color="auto" w:sz="4" w:space="0"/>
              <w:right w:val="single" w:color="auto" w:sz="4" w:space="0"/>
            </w:tcBorders>
            <w:vAlign w:val="center"/>
          </w:tcPr>
          <w:p w14:paraId="0FCFC098">
            <w:pPr>
              <w:widowControl/>
              <w:jc w:val="center"/>
              <w:rPr>
                <w:rFonts w:ascii="宋体" w:hAnsi="宋体" w:cs="宋体"/>
                <w:b/>
                <w:bCs/>
                <w:kern w:val="0"/>
                <w:sz w:val="21"/>
                <w:szCs w:val="24"/>
              </w:rPr>
            </w:pPr>
            <w:r>
              <w:rPr>
                <w:rFonts w:hint="eastAsia" w:ascii="宋体" w:hAnsi="宋体" w:cs="宋体"/>
                <w:b/>
                <w:bCs/>
                <w:kern w:val="0"/>
                <w:sz w:val="21"/>
                <w:szCs w:val="24"/>
              </w:rPr>
              <w:t>项目名称</w:t>
            </w:r>
          </w:p>
        </w:tc>
        <w:tc>
          <w:tcPr>
            <w:tcW w:w="1277" w:type="dxa"/>
            <w:tcBorders>
              <w:top w:val="single" w:color="auto" w:sz="4" w:space="0"/>
              <w:left w:val="single" w:color="auto" w:sz="4" w:space="0"/>
              <w:right w:val="single" w:color="auto" w:sz="4" w:space="0"/>
            </w:tcBorders>
            <w:vAlign w:val="center"/>
          </w:tcPr>
          <w:p w14:paraId="2B19094B">
            <w:pPr>
              <w:widowControl/>
              <w:jc w:val="center"/>
              <w:rPr>
                <w:rFonts w:ascii="宋体" w:hAnsi="宋体" w:cs="宋体"/>
                <w:b/>
                <w:bCs/>
                <w:kern w:val="0"/>
                <w:sz w:val="21"/>
                <w:szCs w:val="24"/>
              </w:rPr>
            </w:pPr>
            <w:r>
              <w:rPr>
                <w:rFonts w:hint="eastAsia" w:ascii="宋体" w:hAnsi="宋体" w:cs="宋体"/>
                <w:b/>
                <w:bCs/>
                <w:kern w:val="0"/>
                <w:sz w:val="21"/>
                <w:szCs w:val="24"/>
              </w:rPr>
              <w:t>最高限价（元）</w:t>
            </w:r>
          </w:p>
        </w:tc>
        <w:tc>
          <w:tcPr>
            <w:tcW w:w="1417" w:type="dxa"/>
            <w:tcBorders>
              <w:top w:val="single" w:color="auto" w:sz="4" w:space="0"/>
              <w:left w:val="single" w:color="auto" w:sz="4" w:space="0"/>
              <w:right w:val="single" w:color="auto" w:sz="4" w:space="0"/>
            </w:tcBorders>
            <w:vAlign w:val="center"/>
          </w:tcPr>
          <w:p w14:paraId="4D2BB100">
            <w:pPr>
              <w:widowControl/>
              <w:jc w:val="center"/>
              <w:rPr>
                <w:rFonts w:ascii="宋体" w:hAnsi="宋体" w:cs="宋体"/>
                <w:b/>
                <w:bCs/>
                <w:kern w:val="0"/>
                <w:sz w:val="21"/>
                <w:szCs w:val="24"/>
              </w:rPr>
            </w:pPr>
            <w:r>
              <w:rPr>
                <w:rFonts w:hint="eastAsia" w:ascii="宋体" w:hAnsi="宋体" w:cs="宋体"/>
                <w:b/>
                <w:bCs/>
                <w:kern w:val="0"/>
                <w:sz w:val="21"/>
                <w:szCs w:val="24"/>
              </w:rPr>
              <w:t>保证金</w:t>
            </w:r>
          </w:p>
          <w:p w14:paraId="45964982">
            <w:pPr>
              <w:jc w:val="center"/>
              <w:rPr>
                <w:rFonts w:ascii="宋体" w:hAnsi="宋体" w:cs="宋体"/>
                <w:b/>
                <w:bCs/>
                <w:kern w:val="0"/>
                <w:sz w:val="21"/>
                <w:szCs w:val="24"/>
              </w:rPr>
            </w:pPr>
            <w:r>
              <w:rPr>
                <w:rFonts w:hint="eastAsia" w:ascii="宋体" w:hAnsi="宋体" w:cs="宋体"/>
                <w:b/>
                <w:bCs/>
                <w:kern w:val="0"/>
                <w:sz w:val="21"/>
                <w:szCs w:val="24"/>
              </w:rPr>
              <w:t>（元）</w:t>
            </w:r>
          </w:p>
        </w:tc>
        <w:tc>
          <w:tcPr>
            <w:tcW w:w="1829" w:type="dxa"/>
            <w:tcBorders>
              <w:top w:val="single" w:color="auto" w:sz="4" w:space="0"/>
              <w:left w:val="single" w:color="auto" w:sz="4" w:space="0"/>
              <w:right w:val="single" w:color="auto" w:sz="4" w:space="0"/>
            </w:tcBorders>
            <w:vAlign w:val="center"/>
          </w:tcPr>
          <w:p w14:paraId="7CD2C203">
            <w:pPr>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2446" w:type="dxa"/>
            <w:tcBorders>
              <w:top w:val="single" w:color="auto" w:sz="4" w:space="0"/>
              <w:left w:val="single" w:color="auto" w:sz="4" w:space="0"/>
              <w:right w:val="single" w:color="auto" w:sz="4" w:space="0"/>
            </w:tcBorders>
            <w:vAlign w:val="center"/>
          </w:tcPr>
          <w:p w14:paraId="58B6214D">
            <w:pPr>
              <w:jc w:val="center"/>
              <w:rPr>
                <w:rFonts w:ascii="宋体" w:hAnsi="宋体" w:cs="宋体"/>
                <w:b/>
                <w:bCs/>
                <w:kern w:val="0"/>
                <w:sz w:val="21"/>
                <w:szCs w:val="24"/>
              </w:rPr>
            </w:pPr>
            <w:r>
              <w:rPr>
                <w:rFonts w:hint="eastAsia" w:ascii="宋体" w:hAnsi="宋体" w:cs="宋体"/>
                <w:b/>
                <w:bCs/>
                <w:kern w:val="0"/>
                <w:sz w:val="21"/>
                <w:szCs w:val="24"/>
              </w:rPr>
              <w:t>采购标的对应的中小企业划分标准所属行业</w:t>
            </w:r>
          </w:p>
        </w:tc>
      </w:tr>
      <w:tr w14:paraId="17FC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4C9F14F">
            <w:pPr>
              <w:widowControl/>
              <w:jc w:val="center"/>
              <w:rPr>
                <w:rFonts w:ascii="宋体" w:hAnsi="宋体" w:cs="宋体"/>
                <w:kern w:val="0"/>
                <w:sz w:val="21"/>
                <w:szCs w:val="24"/>
              </w:rPr>
            </w:pPr>
            <w:bookmarkStart w:id="18" w:name="_Hlk344477914"/>
            <w:r>
              <w:rPr>
                <w:rFonts w:hint="eastAsia" w:ascii="宋体" w:hAnsi="宋体" w:cs="宋体"/>
                <w:kern w:val="0"/>
                <w:sz w:val="21"/>
                <w:szCs w:val="24"/>
              </w:rPr>
              <w:t>1</w:t>
            </w:r>
          </w:p>
        </w:tc>
        <w:tc>
          <w:tcPr>
            <w:tcW w:w="1893" w:type="dxa"/>
            <w:tcBorders>
              <w:top w:val="single" w:color="auto" w:sz="4" w:space="0"/>
              <w:left w:val="single" w:color="auto" w:sz="4" w:space="0"/>
              <w:bottom w:val="single" w:color="auto" w:sz="4" w:space="0"/>
              <w:right w:val="single" w:color="auto" w:sz="4" w:space="0"/>
            </w:tcBorders>
            <w:vAlign w:val="center"/>
          </w:tcPr>
          <w:p w14:paraId="1954E584">
            <w:pPr>
              <w:widowControl/>
              <w:jc w:val="center"/>
              <w:rPr>
                <w:rFonts w:ascii="宋体" w:hAnsi="宋体" w:cs="宋体"/>
                <w:kern w:val="0"/>
                <w:sz w:val="21"/>
                <w:szCs w:val="24"/>
              </w:rPr>
            </w:pPr>
            <w:r>
              <w:rPr>
                <w:rFonts w:hint="eastAsia" w:ascii="宋体" w:hAnsi="宋体" w:cs="宋体"/>
                <w:sz w:val="24"/>
                <w:szCs w:val="24"/>
              </w:rPr>
              <w:t>警务室建设</w:t>
            </w:r>
          </w:p>
        </w:tc>
        <w:tc>
          <w:tcPr>
            <w:tcW w:w="1277" w:type="dxa"/>
            <w:tcBorders>
              <w:top w:val="single" w:color="auto" w:sz="4" w:space="0"/>
              <w:left w:val="single" w:color="auto" w:sz="4" w:space="0"/>
              <w:bottom w:val="single" w:color="auto" w:sz="4" w:space="0"/>
              <w:right w:val="single" w:color="auto" w:sz="4" w:space="0"/>
            </w:tcBorders>
            <w:vAlign w:val="center"/>
          </w:tcPr>
          <w:p w14:paraId="59EB5EE3">
            <w:pPr>
              <w:jc w:val="center"/>
              <w:rPr>
                <w:rFonts w:ascii="宋体" w:hAnsi="宋体" w:cs="宋体"/>
                <w:sz w:val="21"/>
                <w:szCs w:val="21"/>
              </w:rPr>
            </w:pPr>
            <w:r>
              <w:rPr>
                <w:rFonts w:hint="eastAsia" w:ascii="宋体" w:hAnsi="宋体" w:cs="宋体"/>
                <w:sz w:val="21"/>
                <w:szCs w:val="21"/>
              </w:rPr>
              <w:t>252870.41</w:t>
            </w:r>
          </w:p>
        </w:tc>
        <w:tc>
          <w:tcPr>
            <w:tcW w:w="1417" w:type="dxa"/>
            <w:tcBorders>
              <w:top w:val="single" w:color="auto" w:sz="4" w:space="0"/>
              <w:left w:val="single" w:color="auto" w:sz="4" w:space="0"/>
              <w:bottom w:val="single" w:color="auto" w:sz="4" w:space="0"/>
              <w:right w:val="single" w:color="auto" w:sz="4" w:space="0"/>
            </w:tcBorders>
            <w:vAlign w:val="center"/>
          </w:tcPr>
          <w:p w14:paraId="2CDACB77">
            <w:pPr>
              <w:jc w:val="center"/>
              <w:rPr>
                <w:rFonts w:ascii="宋体" w:hAnsi="宋体" w:cs="宋体"/>
                <w:sz w:val="21"/>
                <w:szCs w:val="21"/>
              </w:rPr>
            </w:pPr>
            <w:r>
              <w:rPr>
                <w:rFonts w:hint="eastAsia" w:ascii="宋体" w:hAnsi="宋体" w:cs="宋体"/>
                <w:sz w:val="21"/>
                <w:szCs w:val="21"/>
              </w:rPr>
              <w:t>5000</w:t>
            </w:r>
          </w:p>
        </w:tc>
        <w:tc>
          <w:tcPr>
            <w:tcW w:w="1829" w:type="dxa"/>
            <w:tcBorders>
              <w:top w:val="single" w:color="auto" w:sz="4" w:space="0"/>
              <w:left w:val="single" w:color="auto" w:sz="4" w:space="0"/>
              <w:bottom w:val="single" w:color="auto" w:sz="4" w:space="0"/>
              <w:right w:val="single" w:color="auto" w:sz="4" w:space="0"/>
            </w:tcBorders>
            <w:vAlign w:val="center"/>
          </w:tcPr>
          <w:p w14:paraId="5B89F253">
            <w:pPr>
              <w:jc w:val="center"/>
              <w:rPr>
                <w:rFonts w:ascii="宋体" w:hAnsi="宋体" w:cs="宋体"/>
                <w:sz w:val="21"/>
                <w:szCs w:val="21"/>
              </w:rPr>
            </w:pPr>
            <w:r>
              <w:rPr>
                <w:rFonts w:hint="eastAsia" w:ascii="宋体" w:hAnsi="宋体" w:cs="宋体"/>
                <w:sz w:val="21"/>
                <w:szCs w:val="21"/>
              </w:rPr>
              <w:t>1</w:t>
            </w:r>
          </w:p>
        </w:tc>
        <w:tc>
          <w:tcPr>
            <w:tcW w:w="2446" w:type="dxa"/>
            <w:tcBorders>
              <w:top w:val="single" w:color="auto" w:sz="4" w:space="0"/>
              <w:left w:val="single" w:color="auto" w:sz="4" w:space="0"/>
              <w:bottom w:val="single" w:color="auto" w:sz="4" w:space="0"/>
              <w:right w:val="single" w:color="auto" w:sz="4" w:space="0"/>
            </w:tcBorders>
            <w:vAlign w:val="center"/>
          </w:tcPr>
          <w:p w14:paraId="477866F0">
            <w:pPr>
              <w:jc w:val="center"/>
              <w:rPr>
                <w:rFonts w:ascii="宋体" w:hAnsi="宋体" w:cs="宋体"/>
                <w:b/>
                <w:sz w:val="21"/>
                <w:szCs w:val="21"/>
              </w:rPr>
            </w:pPr>
            <w:r>
              <w:rPr>
                <w:rFonts w:hint="eastAsia" w:ascii="宋体" w:hAnsi="宋体" w:cs="宋体"/>
                <w:b/>
                <w:sz w:val="21"/>
                <w:szCs w:val="21"/>
              </w:rPr>
              <w:t>建筑业</w:t>
            </w:r>
          </w:p>
        </w:tc>
      </w:tr>
      <w:bookmarkEnd w:id="18"/>
    </w:tbl>
    <w:p w14:paraId="4D530E74">
      <w:pPr>
        <w:pStyle w:val="3"/>
        <w:adjustRightInd w:val="0"/>
        <w:snapToGrid w:val="0"/>
        <w:spacing w:before="0" w:after="0" w:line="400" w:lineRule="exact"/>
        <w:ind w:firstLine="482" w:firstLineChars="200"/>
        <w:rPr>
          <w:rFonts w:ascii="宋体" w:hAnsi="宋体" w:cs="宋体"/>
        </w:rPr>
      </w:pPr>
      <w:bookmarkStart w:id="19" w:name="_Toc65660331"/>
      <w:bookmarkStart w:id="20" w:name="_Toc22929"/>
      <w:bookmarkStart w:id="21" w:name="_Toc2761"/>
      <w:bookmarkStart w:id="22" w:name="_Toc3256"/>
      <w:bookmarkStart w:id="23" w:name="_Toc27028"/>
      <w:bookmarkStart w:id="24" w:name="_Toc23717"/>
      <w:bookmarkStart w:id="25" w:name="_Toc3831"/>
      <w:bookmarkStart w:id="26" w:name="_Toc373860293"/>
      <w:bookmarkStart w:id="27" w:name="_Toc317775178"/>
      <w:r>
        <w:rPr>
          <w:rFonts w:hint="eastAsia" w:ascii="宋体" w:hAnsi="宋体" w:cs="宋体"/>
        </w:rPr>
        <w:t>二、资金来源</w:t>
      </w:r>
      <w:bookmarkEnd w:id="19"/>
      <w:bookmarkEnd w:id="20"/>
      <w:bookmarkEnd w:id="21"/>
      <w:bookmarkEnd w:id="22"/>
      <w:bookmarkEnd w:id="23"/>
      <w:bookmarkEnd w:id="24"/>
      <w:bookmarkEnd w:id="25"/>
    </w:p>
    <w:p w14:paraId="082005DA">
      <w:pPr>
        <w:spacing w:line="400" w:lineRule="exact"/>
        <w:ind w:firstLine="480" w:firstLineChars="200"/>
        <w:rPr>
          <w:rFonts w:ascii="宋体" w:hAnsi="宋体" w:cs="宋体"/>
          <w:sz w:val="24"/>
          <w:szCs w:val="24"/>
        </w:rPr>
      </w:pPr>
      <w:r>
        <w:rPr>
          <w:rFonts w:hint="eastAsia" w:ascii="宋体" w:hAnsi="宋体" w:cs="宋体"/>
          <w:sz w:val="24"/>
          <w:szCs w:val="24"/>
        </w:rPr>
        <w:t>自筹资金，采购预算252870.41元。</w:t>
      </w:r>
    </w:p>
    <w:p w14:paraId="71CA17FF">
      <w:pPr>
        <w:pStyle w:val="3"/>
        <w:adjustRightInd w:val="0"/>
        <w:snapToGrid w:val="0"/>
        <w:spacing w:before="0" w:after="0" w:line="400" w:lineRule="exact"/>
        <w:ind w:firstLine="482" w:firstLineChars="200"/>
        <w:rPr>
          <w:rFonts w:ascii="宋体" w:hAnsi="宋体" w:cs="宋体"/>
        </w:rPr>
      </w:pPr>
      <w:bookmarkStart w:id="28" w:name="_Toc3080"/>
      <w:bookmarkStart w:id="29" w:name="_Toc3987"/>
      <w:bookmarkStart w:id="30" w:name="_Toc18548"/>
      <w:bookmarkStart w:id="31" w:name="_Toc64731996"/>
      <w:bookmarkStart w:id="32" w:name="_Toc10125"/>
      <w:bookmarkStart w:id="33" w:name="_Toc65660332"/>
      <w:bookmarkStart w:id="34" w:name="_Toc12625"/>
      <w:bookmarkStart w:id="35" w:name="_Toc13541"/>
      <w:r>
        <w:rPr>
          <w:rFonts w:hint="eastAsia" w:ascii="宋体" w:hAnsi="宋体" w:cs="宋体"/>
        </w:rPr>
        <w:t>三、供应商资格条件</w:t>
      </w:r>
      <w:bookmarkEnd w:id="28"/>
      <w:bookmarkEnd w:id="29"/>
      <w:bookmarkEnd w:id="30"/>
      <w:bookmarkEnd w:id="31"/>
      <w:bookmarkEnd w:id="32"/>
      <w:bookmarkEnd w:id="33"/>
      <w:bookmarkEnd w:id="34"/>
      <w:bookmarkEnd w:id="35"/>
    </w:p>
    <w:p w14:paraId="0E20660E">
      <w:pPr>
        <w:spacing w:line="400" w:lineRule="exact"/>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7074AED2">
      <w:pPr>
        <w:spacing w:line="400" w:lineRule="exact"/>
        <w:ind w:firstLine="480" w:firstLineChars="200"/>
        <w:rPr>
          <w:rFonts w:ascii="宋体" w:hAnsi="宋体" w:cs="宋体"/>
          <w:sz w:val="24"/>
          <w:szCs w:val="24"/>
        </w:rPr>
      </w:pPr>
      <w:r>
        <w:rPr>
          <w:rFonts w:hint="eastAsia" w:ascii="宋体" w:hAnsi="宋体" w:cs="宋体"/>
          <w:sz w:val="24"/>
          <w:szCs w:val="24"/>
        </w:rPr>
        <w:t>（二）落实政府采购政策需满足的资格要求：本项目专门面向中小企业采购，承建单位应为中小微企业（提供中小企业声明函）或监狱企业（提供监狱企业证明文件）或残疾人福利性单位（提供残疾人福利性单位声明函）。</w:t>
      </w:r>
    </w:p>
    <w:p w14:paraId="71E0E8A7">
      <w:pPr>
        <w:spacing w:line="400" w:lineRule="exact"/>
        <w:ind w:firstLine="480" w:firstLineChars="200"/>
        <w:rPr>
          <w:rFonts w:ascii="宋体" w:hAnsi="宋体" w:cs="宋体"/>
          <w:sz w:val="24"/>
          <w:szCs w:val="24"/>
        </w:rPr>
      </w:pPr>
      <w:r>
        <w:rPr>
          <w:rFonts w:hint="eastAsia" w:ascii="宋体" w:hAnsi="宋体" w:cs="宋体"/>
          <w:sz w:val="24"/>
          <w:szCs w:val="24"/>
        </w:rPr>
        <w:t>（三）本项目的特定资格要求：</w:t>
      </w:r>
    </w:p>
    <w:p w14:paraId="00A51655">
      <w:pPr>
        <w:spacing w:line="400" w:lineRule="exact"/>
        <w:ind w:firstLine="480" w:firstLineChars="200"/>
      </w:pPr>
      <w:r>
        <w:rPr>
          <w:rFonts w:hint="eastAsia" w:ascii="宋体" w:hAnsi="宋体" w:cs="宋体"/>
          <w:sz w:val="24"/>
          <w:szCs w:val="24"/>
        </w:rPr>
        <w:t>供应商须具备建设行政主管部门颁发的有效的建筑工程施工总承包三级及以上资质同时具有建设行政主管部门颁发的处于有效期内的安全生产许可证（提供有效期内的资质证书、安全生产许可证复印件并加盖供应商公章）。</w:t>
      </w:r>
    </w:p>
    <w:p w14:paraId="1A9E8F67">
      <w:pPr>
        <w:pStyle w:val="3"/>
        <w:numPr>
          <w:ilvl w:val="0"/>
          <w:numId w:val="1"/>
        </w:numPr>
        <w:adjustRightInd w:val="0"/>
        <w:snapToGrid w:val="0"/>
        <w:spacing w:before="0" w:after="0" w:line="400" w:lineRule="exact"/>
        <w:ind w:firstLine="482" w:firstLineChars="200"/>
        <w:rPr>
          <w:rFonts w:hint="eastAsia" w:ascii="宋体" w:hAnsi="宋体" w:cs="宋体"/>
        </w:rPr>
      </w:pPr>
      <w:bookmarkStart w:id="36" w:name="_Toc65660333"/>
      <w:bookmarkStart w:id="37" w:name="_Toc1386"/>
      <w:bookmarkStart w:id="38" w:name="_Toc29215"/>
      <w:bookmarkStart w:id="39" w:name="_Toc11908"/>
      <w:bookmarkStart w:id="40" w:name="_Toc25643"/>
      <w:bookmarkStart w:id="41" w:name="_Toc29192"/>
      <w:bookmarkStart w:id="42" w:name="_Toc15466"/>
      <w:r>
        <w:rPr>
          <w:rFonts w:hint="eastAsia" w:ascii="宋体" w:hAnsi="宋体" w:cs="宋体"/>
        </w:rPr>
        <w:t>谈判有关说明</w:t>
      </w:r>
      <w:bookmarkEnd w:id="26"/>
      <w:bookmarkEnd w:id="36"/>
      <w:bookmarkEnd w:id="37"/>
      <w:bookmarkEnd w:id="38"/>
      <w:bookmarkEnd w:id="39"/>
      <w:bookmarkEnd w:id="40"/>
      <w:bookmarkEnd w:id="41"/>
      <w:bookmarkEnd w:id="42"/>
    </w:p>
    <w:p w14:paraId="4A4671C7">
      <w:pPr>
        <w:pStyle w:val="3"/>
        <w:numPr>
          <w:ilvl w:val="0"/>
          <w:numId w:val="0"/>
        </w:numPr>
        <w:adjustRightInd w:val="0"/>
        <w:snapToGrid w:val="0"/>
        <w:spacing w:before="0" w:after="0" w:line="400" w:lineRule="exact"/>
        <w:ind w:firstLine="482" w:firstLineChars="200"/>
        <w:rPr>
          <w:rFonts w:ascii="宋体" w:hAnsi="宋体" w:cs="宋体"/>
          <w:sz w:val="24"/>
          <w:szCs w:val="24"/>
        </w:rPr>
      </w:pPr>
      <w:r>
        <w:rPr>
          <w:rFonts w:hint="eastAsia" w:ascii="宋体" w:hAnsi="宋体" w:cs="宋体"/>
          <w:sz w:val="24"/>
          <w:szCs w:val="24"/>
        </w:rPr>
        <w:t>（一）凡有意参加谈判的供应商，请在重庆市黔江区民族职业教育中心官网（http://www.qjzjzx.cn）下载本项目竞争性谈判文件以及图纸、澄清等谈判前公布的所有项目资料，无论供应商下载或领取与否，均视为已知晓所有谈判实质性要求内容。</w:t>
      </w:r>
    </w:p>
    <w:p w14:paraId="393A792A">
      <w:pPr>
        <w:spacing w:line="400" w:lineRule="exact"/>
        <w:ind w:firstLine="480" w:firstLineChars="200"/>
        <w:rPr>
          <w:rFonts w:ascii="宋体" w:hAnsi="宋体" w:cs="宋体"/>
          <w:sz w:val="24"/>
          <w:szCs w:val="24"/>
        </w:rPr>
      </w:pPr>
      <w:r>
        <w:rPr>
          <w:rFonts w:hint="eastAsia" w:ascii="宋体" w:hAnsi="宋体" w:cs="宋体"/>
          <w:sz w:val="24"/>
          <w:szCs w:val="24"/>
        </w:rPr>
        <w:t>（二）竞争性谈判公告期限：自采购公告发布之日起三个工作日。</w:t>
      </w:r>
    </w:p>
    <w:p w14:paraId="7AEB8DFF">
      <w:pPr>
        <w:spacing w:line="400" w:lineRule="exact"/>
        <w:ind w:firstLine="480" w:firstLineChars="200"/>
        <w:rPr>
          <w:rFonts w:ascii="宋体" w:hAnsi="宋体" w:cs="宋体"/>
          <w:sz w:val="24"/>
          <w:szCs w:val="24"/>
        </w:rPr>
      </w:pPr>
      <w:r>
        <w:rPr>
          <w:rFonts w:hint="eastAsia" w:ascii="宋体" w:hAnsi="宋体" w:cs="宋体"/>
          <w:sz w:val="24"/>
          <w:szCs w:val="24"/>
        </w:rPr>
        <w:t>（三）供应商须满足以下两种要件，其谈判才被接受：</w:t>
      </w:r>
    </w:p>
    <w:p w14:paraId="5D80FC9E">
      <w:pPr>
        <w:spacing w:line="400" w:lineRule="exact"/>
        <w:ind w:firstLine="480" w:firstLineChars="200"/>
        <w:rPr>
          <w:rFonts w:ascii="宋体" w:hAnsi="宋体"/>
          <w:sz w:val="24"/>
          <w:szCs w:val="24"/>
        </w:rPr>
      </w:pPr>
      <w:r>
        <w:rPr>
          <w:rFonts w:hint="eastAsia" w:ascii="宋体" w:hAnsi="宋体"/>
          <w:sz w:val="24"/>
          <w:szCs w:val="24"/>
        </w:rPr>
        <w:t>1. 按时提交谈判文件；</w:t>
      </w:r>
    </w:p>
    <w:p w14:paraId="2C806109">
      <w:pPr>
        <w:spacing w:line="400" w:lineRule="exact"/>
        <w:ind w:firstLine="480" w:firstLineChars="200"/>
      </w:pPr>
      <w:r>
        <w:rPr>
          <w:rFonts w:hint="eastAsia" w:ascii="宋体" w:hAnsi="宋体"/>
          <w:sz w:val="24"/>
          <w:szCs w:val="24"/>
        </w:rPr>
        <w:t>2. 按时报名并签名；</w:t>
      </w:r>
    </w:p>
    <w:p w14:paraId="52166A01">
      <w:pPr>
        <w:spacing w:line="400" w:lineRule="exact"/>
        <w:ind w:firstLine="480" w:firstLineChars="200"/>
      </w:pPr>
      <w:r>
        <w:rPr>
          <w:rFonts w:hint="eastAsia" w:ascii="宋体" w:hAnsi="宋体"/>
          <w:sz w:val="24"/>
          <w:szCs w:val="24"/>
        </w:rPr>
        <w:t>3. 按时缴纳投标保证金；</w:t>
      </w:r>
    </w:p>
    <w:p w14:paraId="614BD323">
      <w:pPr>
        <w:spacing w:line="400" w:lineRule="exact"/>
        <w:ind w:firstLine="480" w:firstLineChars="200"/>
        <w:rPr>
          <w:rFonts w:ascii="宋体" w:hAnsi="宋体" w:cs="宋体"/>
          <w:sz w:val="24"/>
          <w:szCs w:val="24"/>
        </w:rPr>
      </w:pPr>
      <w:r>
        <w:rPr>
          <w:rFonts w:hint="eastAsia" w:ascii="宋体" w:hAnsi="宋体" w:cs="宋体"/>
          <w:sz w:val="24"/>
          <w:szCs w:val="24"/>
        </w:rPr>
        <w:t>（四）提交谈判文件截止时间：2026年</w:t>
      </w:r>
      <w:r>
        <w:rPr>
          <w:rFonts w:hint="eastAsia" w:ascii="宋体" w:hAnsi="宋体" w:cs="宋体"/>
          <w:sz w:val="24"/>
          <w:szCs w:val="24"/>
          <w:lang w:val="en-US" w:eastAsia="zh-CN"/>
        </w:rPr>
        <w:t>4</w:t>
      </w:r>
      <w:r>
        <w:rPr>
          <w:rFonts w:hint="eastAsia" w:ascii="宋体" w:hAnsi="宋体" w:cs="宋体"/>
          <w:sz w:val="24"/>
          <w:szCs w:val="24"/>
        </w:rPr>
        <w:t>月</w:t>
      </w:r>
      <w:bookmarkStart w:id="298" w:name="_GoBack"/>
      <w:bookmarkEnd w:id="298"/>
      <w:r>
        <w:rPr>
          <w:rFonts w:hint="eastAsia" w:ascii="宋体" w:hAnsi="宋体" w:cs="宋体"/>
          <w:sz w:val="24"/>
          <w:szCs w:val="24"/>
          <w:lang w:val="en-US" w:eastAsia="zh-CN"/>
        </w:rPr>
        <w:t>14</w:t>
      </w:r>
      <w:r>
        <w:rPr>
          <w:rFonts w:hint="eastAsia" w:ascii="宋体" w:hAnsi="宋体" w:cs="宋体"/>
          <w:sz w:val="24"/>
          <w:szCs w:val="24"/>
        </w:rPr>
        <w:t>日北京时间09:30</w:t>
      </w:r>
    </w:p>
    <w:p w14:paraId="5288CC61">
      <w:pPr>
        <w:spacing w:line="400" w:lineRule="exact"/>
        <w:ind w:firstLine="480" w:firstLineChars="200"/>
        <w:rPr>
          <w:rFonts w:ascii="宋体" w:hAnsi="宋体" w:cs="宋体"/>
          <w:sz w:val="24"/>
          <w:szCs w:val="24"/>
        </w:rPr>
      </w:pPr>
      <w:r>
        <w:rPr>
          <w:rFonts w:hint="eastAsia" w:ascii="宋体" w:hAnsi="宋体" w:cs="宋体"/>
          <w:sz w:val="24"/>
          <w:szCs w:val="24"/>
        </w:rPr>
        <w:t>（五）提交谈判文件地点：黔江职教中心</w:t>
      </w:r>
      <w:r>
        <w:rPr>
          <w:rFonts w:hint="eastAsia" w:ascii="宋体" w:hAnsi="宋体"/>
          <w:sz w:val="24"/>
          <w:szCs w:val="24"/>
        </w:rPr>
        <w:t>招投标室（生活辅助用房310室）</w:t>
      </w:r>
    </w:p>
    <w:p w14:paraId="4415B3F8">
      <w:pPr>
        <w:spacing w:line="400" w:lineRule="exact"/>
        <w:ind w:firstLine="480" w:firstLineChars="200"/>
        <w:rPr>
          <w:rFonts w:ascii="宋体" w:hAnsi="宋体" w:cs="宋体"/>
          <w:sz w:val="24"/>
          <w:szCs w:val="24"/>
        </w:rPr>
      </w:pPr>
      <w:r>
        <w:rPr>
          <w:rFonts w:hint="eastAsia" w:ascii="宋体" w:hAnsi="宋体" w:cs="宋体"/>
          <w:sz w:val="24"/>
          <w:szCs w:val="24"/>
        </w:rPr>
        <w:t>（六）谈判文件开启时间：2026年</w:t>
      </w:r>
      <w:r>
        <w:rPr>
          <w:rFonts w:hint="eastAsia" w:ascii="宋体" w:hAnsi="宋体" w:cs="宋体"/>
          <w:sz w:val="24"/>
          <w:szCs w:val="24"/>
          <w:lang w:val="en-US" w:eastAsia="zh-CN"/>
        </w:rPr>
        <w:t xml:space="preserve">4 </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日北京时间09:30</w:t>
      </w:r>
    </w:p>
    <w:p w14:paraId="5633EEDA">
      <w:pPr>
        <w:spacing w:line="400" w:lineRule="exact"/>
        <w:ind w:firstLine="480" w:firstLineChars="200"/>
        <w:rPr>
          <w:rFonts w:ascii="宋体" w:hAnsi="宋体" w:cs="宋体"/>
          <w:sz w:val="24"/>
          <w:szCs w:val="24"/>
        </w:rPr>
      </w:pPr>
      <w:r>
        <w:rPr>
          <w:rFonts w:hint="eastAsia" w:ascii="宋体" w:hAnsi="宋体" w:cs="宋体"/>
          <w:sz w:val="24"/>
          <w:szCs w:val="24"/>
        </w:rPr>
        <w:t>（七）谈判地点（谈判文件开启地点）：黔江职教中心</w:t>
      </w:r>
      <w:r>
        <w:rPr>
          <w:rFonts w:hint="eastAsia" w:ascii="宋体" w:hAnsi="宋体"/>
          <w:sz w:val="24"/>
          <w:szCs w:val="24"/>
        </w:rPr>
        <w:t>招投标室（生活辅助用房310室）</w:t>
      </w:r>
    </w:p>
    <w:bookmarkEnd w:id="27"/>
    <w:p w14:paraId="19C9D558">
      <w:pPr>
        <w:pStyle w:val="3"/>
        <w:adjustRightInd w:val="0"/>
        <w:snapToGrid w:val="0"/>
        <w:spacing w:before="0" w:after="0" w:line="400" w:lineRule="exact"/>
        <w:ind w:firstLine="482" w:firstLineChars="200"/>
        <w:rPr>
          <w:rFonts w:ascii="宋体" w:hAnsi="宋体" w:cs="宋体"/>
        </w:rPr>
      </w:pPr>
      <w:bookmarkStart w:id="43" w:name="_Toc653"/>
      <w:bookmarkStart w:id="44" w:name="_Toc65660334"/>
      <w:bookmarkStart w:id="45" w:name="_Toc11956"/>
      <w:bookmarkStart w:id="46" w:name="_Toc6178"/>
      <w:bookmarkStart w:id="47" w:name="_Toc19573"/>
      <w:bookmarkStart w:id="48" w:name="_Toc521053053"/>
      <w:bookmarkStart w:id="49" w:name="_Toc373860294"/>
      <w:bookmarkStart w:id="50" w:name="_Toc525047161"/>
      <w:bookmarkStart w:id="51" w:name="_Toc3604"/>
      <w:bookmarkStart w:id="52" w:name="_Toc22975"/>
      <w:r>
        <w:rPr>
          <w:rFonts w:hint="eastAsia" w:ascii="宋体" w:hAnsi="宋体" w:cs="宋体"/>
        </w:rPr>
        <w:t>五、保证金</w:t>
      </w:r>
      <w:bookmarkEnd w:id="43"/>
      <w:bookmarkEnd w:id="44"/>
      <w:bookmarkEnd w:id="45"/>
      <w:bookmarkEnd w:id="46"/>
      <w:bookmarkEnd w:id="47"/>
      <w:bookmarkEnd w:id="48"/>
      <w:bookmarkEnd w:id="49"/>
      <w:bookmarkEnd w:id="50"/>
      <w:bookmarkEnd w:id="51"/>
      <w:bookmarkEnd w:id="52"/>
    </w:p>
    <w:p w14:paraId="48740EC4">
      <w:pPr>
        <w:spacing w:line="360" w:lineRule="exact"/>
        <w:ind w:firstLine="480" w:firstLineChars="200"/>
        <w:rPr>
          <w:rFonts w:ascii="宋体" w:hAnsi="宋体" w:cs="宋体"/>
          <w:sz w:val="24"/>
          <w:szCs w:val="24"/>
        </w:rPr>
      </w:pPr>
      <w:bookmarkStart w:id="53" w:name="_Toc4837"/>
      <w:bookmarkStart w:id="54" w:name="_Toc525047162"/>
      <w:bookmarkStart w:id="55" w:name="_Toc65660335"/>
      <w:bookmarkStart w:id="56" w:name="_Toc4355"/>
      <w:bookmarkStart w:id="57" w:name="_Toc479668114"/>
      <w:bookmarkStart w:id="58" w:name="_Toc521053054"/>
      <w:bookmarkStart w:id="59" w:name="_Toc9211"/>
      <w:bookmarkStart w:id="60" w:name="_Toc31079"/>
      <w:bookmarkStart w:id="61" w:name="_Toc2945"/>
      <w:r>
        <w:rPr>
          <w:rFonts w:hint="eastAsia" w:ascii="宋体" w:hAnsi="宋体" w:cs="宋体"/>
          <w:sz w:val="24"/>
          <w:szCs w:val="24"/>
        </w:rPr>
        <w:t>（一）谈判保证金交款形式：</w:t>
      </w:r>
    </w:p>
    <w:p w14:paraId="48AE878F">
      <w:pPr>
        <w:spacing w:line="360" w:lineRule="exact"/>
        <w:ind w:firstLine="960" w:firstLineChars="400"/>
        <w:rPr>
          <w:rFonts w:ascii="宋体" w:hAnsi="宋体"/>
          <w:sz w:val="24"/>
          <w:szCs w:val="24"/>
        </w:rPr>
      </w:pPr>
      <w:r>
        <w:rPr>
          <w:rFonts w:hint="eastAsia" w:ascii="宋体" w:hAnsi="宋体"/>
          <w:sz w:val="24"/>
          <w:szCs w:val="24"/>
        </w:rPr>
        <w:t>投标保证金现场现金缴纳（财务科电话：023-85086300）</w:t>
      </w:r>
    </w:p>
    <w:p w14:paraId="3FF27504">
      <w:pPr>
        <w:spacing w:line="360" w:lineRule="exact"/>
        <w:ind w:firstLine="480" w:firstLineChars="200"/>
        <w:rPr>
          <w:rFonts w:ascii="宋体" w:hAnsi="宋体"/>
          <w:sz w:val="24"/>
          <w:szCs w:val="24"/>
        </w:rPr>
      </w:pPr>
      <w:r>
        <w:rPr>
          <w:rFonts w:hint="eastAsia" w:ascii="宋体" w:hAnsi="宋体"/>
          <w:sz w:val="24"/>
          <w:szCs w:val="24"/>
        </w:rPr>
        <w:t>（二）谈判保证金金额</w:t>
      </w:r>
    </w:p>
    <w:p w14:paraId="11C7EDFD">
      <w:pPr>
        <w:spacing w:line="360" w:lineRule="exact"/>
        <w:ind w:firstLine="480" w:firstLineChars="200"/>
        <w:rPr>
          <w:rFonts w:ascii="宋体" w:hAnsi="宋体"/>
          <w:sz w:val="24"/>
          <w:szCs w:val="24"/>
        </w:rPr>
      </w:pPr>
      <w:r>
        <w:rPr>
          <w:rFonts w:hint="eastAsia" w:ascii="宋体" w:hAnsi="宋体"/>
          <w:sz w:val="24"/>
          <w:szCs w:val="24"/>
        </w:rPr>
        <w:t xml:space="preserve">        保证金人民币￥5000元，大写：伍仟元整</w:t>
      </w:r>
    </w:p>
    <w:p w14:paraId="59DFA1BE">
      <w:pPr>
        <w:spacing w:line="360" w:lineRule="exact"/>
        <w:ind w:firstLine="480" w:firstLineChars="200"/>
        <w:rPr>
          <w:rFonts w:ascii="宋体" w:hAnsi="宋体"/>
          <w:sz w:val="24"/>
          <w:szCs w:val="24"/>
        </w:rPr>
      </w:pPr>
      <w:r>
        <w:rPr>
          <w:rFonts w:hint="eastAsia" w:ascii="宋体" w:hAnsi="宋体"/>
          <w:sz w:val="24"/>
          <w:szCs w:val="24"/>
        </w:rPr>
        <w:t>（三）保证金退还方式</w:t>
      </w:r>
    </w:p>
    <w:p w14:paraId="1652BCC2">
      <w:pPr>
        <w:spacing w:line="360" w:lineRule="exact"/>
        <w:ind w:firstLine="480" w:firstLineChars="200"/>
        <w:rPr>
          <w:rFonts w:ascii="宋体" w:hAnsi="宋体"/>
          <w:sz w:val="24"/>
          <w:szCs w:val="24"/>
        </w:rPr>
      </w:pPr>
      <w:r>
        <w:rPr>
          <w:rFonts w:hint="eastAsia" w:ascii="宋体" w:hAnsi="宋体"/>
          <w:sz w:val="24"/>
          <w:szCs w:val="24"/>
        </w:rPr>
        <w:t>1. 未中标供应商的谈判保证金，采购人在开标结束后现场退还。</w:t>
      </w:r>
    </w:p>
    <w:p w14:paraId="4425A0FD">
      <w:pPr>
        <w:spacing w:line="360" w:lineRule="exact"/>
        <w:ind w:firstLine="480" w:firstLineChars="200"/>
        <w:rPr>
          <w:rFonts w:ascii="宋体" w:hAnsi="宋体"/>
          <w:sz w:val="24"/>
          <w:szCs w:val="24"/>
        </w:rPr>
      </w:pPr>
      <w:r>
        <w:rPr>
          <w:rFonts w:hint="eastAsia" w:ascii="宋体" w:hAnsi="宋体"/>
          <w:sz w:val="24"/>
          <w:szCs w:val="24"/>
        </w:rPr>
        <w:t>2. 中标人的谈判保证金，在中标人与采购人签订合同后，中标人凭采购合同、银行缴款凭证向采购人办理谈判保证金退还申请，在7个工作日内无息退还。</w:t>
      </w:r>
      <w:bookmarkStart w:id="62" w:name="_Toc6952"/>
      <w:bookmarkEnd w:id="62"/>
    </w:p>
    <w:p w14:paraId="74BC8A97">
      <w:pPr>
        <w:pStyle w:val="3"/>
        <w:adjustRightInd w:val="0"/>
        <w:snapToGrid w:val="0"/>
        <w:spacing w:before="0" w:after="0" w:line="400" w:lineRule="exact"/>
        <w:ind w:firstLine="482" w:firstLineChars="200"/>
        <w:rPr>
          <w:rFonts w:ascii="宋体" w:hAnsi="宋体" w:cs="宋体"/>
        </w:rPr>
      </w:pPr>
      <w:bookmarkStart w:id="63" w:name="_Toc13024"/>
      <w:r>
        <w:rPr>
          <w:rFonts w:hint="eastAsia" w:ascii="宋体" w:hAnsi="宋体" w:cs="宋体"/>
        </w:rPr>
        <w:t>六、采购项目需落实的政府采购政策</w:t>
      </w:r>
      <w:bookmarkEnd w:id="53"/>
      <w:bookmarkEnd w:id="54"/>
      <w:bookmarkEnd w:id="55"/>
      <w:bookmarkEnd w:id="56"/>
      <w:bookmarkEnd w:id="57"/>
      <w:bookmarkEnd w:id="58"/>
      <w:bookmarkEnd w:id="59"/>
      <w:bookmarkEnd w:id="60"/>
      <w:bookmarkEnd w:id="61"/>
      <w:bookmarkEnd w:id="63"/>
    </w:p>
    <w:p w14:paraId="0A9D4948">
      <w:pPr>
        <w:snapToGrid w:val="0"/>
        <w:spacing w:line="400" w:lineRule="exact"/>
        <w:ind w:firstLine="480" w:firstLineChars="200"/>
        <w:rPr>
          <w:rFonts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3718A61">
      <w:pPr>
        <w:snapToGrid w:val="0"/>
        <w:spacing w:line="400" w:lineRule="exact"/>
        <w:ind w:firstLine="480" w:firstLineChars="200"/>
        <w:rPr>
          <w:rFonts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（二）按照财政部、工业和信息化部关于印发《政府采购促进中小企业发展管理办法》的通知（财库〔2020〕46号），落实促进中小企业发展政策。</w:t>
      </w:r>
    </w:p>
    <w:p w14:paraId="230B881F">
      <w:pPr>
        <w:snapToGrid w:val="0"/>
        <w:spacing w:line="400" w:lineRule="exact"/>
        <w:ind w:firstLine="480" w:firstLineChars="200"/>
        <w:rPr>
          <w:rFonts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（三）按照《财政部、司法部关于政府采购支持监狱企业发展有关问题的通知》（财库〔2014〕68号）的规定，落实支持监狱企业发展政策。监狱企业视同小型、微型企业。</w:t>
      </w:r>
    </w:p>
    <w:p w14:paraId="5303FCB5">
      <w:pPr>
        <w:snapToGrid w:val="0"/>
        <w:spacing w:line="400" w:lineRule="exact"/>
        <w:ind w:firstLine="480" w:firstLineChars="200"/>
        <w:rPr>
          <w:rFonts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141号）的规定，落实支持残疾人福利性单位发展政策。残疾人福利性单位视同小型、微型企业。</w:t>
      </w:r>
    </w:p>
    <w:p w14:paraId="50AFE899">
      <w:pPr>
        <w:pStyle w:val="3"/>
        <w:adjustRightInd w:val="0"/>
        <w:snapToGrid w:val="0"/>
        <w:spacing w:before="0" w:after="0" w:line="400" w:lineRule="exact"/>
        <w:ind w:firstLine="482" w:firstLineChars="200"/>
        <w:rPr>
          <w:rFonts w:ascii="宋体" w:hAnsi="宋体" w:cs="宋体"/>
        </w:rPr>
      </w:pPr>
      <w:bookmarkStart w:id="64" w:name="_Toc9947"/>
      <w:bookmarkStart w:id="65" w:name="_Toc18469"/>
      <w:bookmarkStart w:id="66" w:name="_Toc18245"/>
      <w:bookmarkStart w:id="67" w:name="_Toc6563"/>
      <w:bookmarkStart w:id="68" w:name="_Toc65660336"/>
      <w:bookmarkStart w:id="69" w:name="_Toc16269"/>
      <w:bookmarkStart w:id="70" w:name="_Toc521053055"/>
      <w:bookmarkStart w:id="71" w:name="_Toc525047163"/>
      <w:bookmarkStart w:id="72" w:name="_Toc7771"/>
      <w:r>
        <w:rPr>
          <w:rFonts w:hint="eastAsia" w:ascii="宋体" w:hAnsi="宋体" w:cs="宋体"/>
        </w:rPr>
        <w:t>七、其它有关规定</w:t>
      </w:r>
      <w:bookmarkEnd w:id="64"/>
      <w:bookmarkEnd w:id="65"/>
      <w:bookmarkEnd w:id="66"/>
      <w:bookmarkEnd w:id="67"/>
      <w:bookmarkEnd w:id="68"/>
      <w:bookmarkEnd w:id="69"/>
      <w:bookmarkEnd w:id="70"/>
      <w:bookmarkEnd w:id="71"/>
      <w:bookmarkEnd w:id="72"/>
    </w:p>
    <w:p w14:paraId="1419B067">
      <w:pPr>
        <w:pStyle w:val="33"/>
        <w:spacing w:line="400" w:lineRule="exact"/>
        <w:ind w:firstLine="480" w:firstLineChars="200"/>
        <w:rPr>
          <w:rFonts w:ascii="宋体" w:hAnsi="宋体" w:cs="宋体"/>
          <w:sz w:val="24"/>
          <w:szCs w:val="24"/>
        </w:rPr>
      </w:pPr>
      <w:bookmarkStart w:id="73" w:name="_Toc65660337"/>
      <w:bookmarkStart w:id="74" w:name="_Toc32474"/>
      <w:bookmarkStart w:id="75" w:name="_Toc17835"/>
      <w:bookmarkStart w:id="76" w:name="_Toc1733"/>
      <w:bookmarkStart w:id="77" w:name="_Toc525047164"/>
      <w:bookmarkStart w:id="78" w:name="_Toc521053056"/>
      <w:bookmarkStart w:id="79" w:name="_Toc23897"/>
      <w:bookmarkStart w:id="80" w:name="_Toc10415"/>
      <w:r>
        <w:rPr>
          <w:rFonts w:hint="eastAsia" w:ascii="宋体" w:hAnsi="宋体" w:cs="宋体"/>
          <w:sz w:val="24"/>
          <w:szCs w:val="24"/>
        </w:rPr>
        <w:t>（一）单位负责人为同一人或者存在直接控股、管理关系的不同供应商，不得参加同一合同项（包）下的政府采购活动，否则均为无效谈判。</w:t>
      </w:r>
    </w:p>
    <w:p w14:paraId="2FC4AC96">
      <w:pPr>
        <w:pStyle w:val="33"/>
        <w:spacing w:line="400" w:lineRule="exact"/>
        <w:ind w:firstLine="480" w:firstLineChars="20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64DAA30A">
      <w:pPr>
        <w:pStyle w:val="33"/>
        <w:spacing w:line="400" w:lineRule="exact"/>
        <w:ind w:firstLine="480" w:firstLineChars="200"/>
        <w:rPr>
          <w:rFonts w:ascii="宋体" w:hAnsi="宋体" w:cs="宋体"/>
          <w:sz w:val="24"/>
          <w:szCs w:val="24"/>
        </w:rPr>
      </w:pPr>
      <w:r>
        <w:rPr>
          <w:rFonts w:hint="eastAsia" w:ascii="宋体" w:hAnsi="宋体" w:cs="宋体"/>
          <w:sz w:val="24"/>
          <w:szCs w:val="24"/>
        </w:rPr>
        <w:t>（三）本项目的澄清文件（如果有）一律在重庆市黔江区民族职业教育中心官网（http://www.qjzjzx.cn）上发布，请各供应商注意下载；无论供应商下载与否，均视同供应商已知晓本项目澄清文件（如果有）的内容。</w:t>
      </w:r>
    </w:p>
    <w:p w14:paraId="6273CD37">
      <w:pPr>
        <w:pStyle w:val="33"/>
        <w:spacing w:line="400" w:lineRule="exact"/>
        <w:ind w:firstLine="480" w:firstLineChars="200"/>
        <w:rPr>
          <w:rFonts w:ascii="宋体" w:hAnsi="宋体" w:cs="宋体"/>
          <w:sz w:val="24"/>
          <w:szCs w:val="24"/>
        </w:rPr>
      </w:pPr>
      <w:r>
        <w:rPr>
          <w:rFonts w:hint="eastAsia" w:ascii="宋体" w:hAnsi="宋体" w:cs="宋体"/>
          <w:sz w:val="24"/>
          <w:szCs w:val="24"/>
        </w:rPr>
        <w:t>（四）超过响应文件截止时间提交的响应文件，恕不接收。</w:t>
      </w:r>
    </w:p>
    <w:p w14:paraId="661ACBAA">
      <w:pPr>
        <w:pStyle w:val="33"/>
        <w:spacing w:line="400" w:lineRule="exact"/>
        <w:ind w:firstLine="480" w:firstLineChars="200"/>
        <w:rPr>
          <w:rFonts w:ascii="宋体" w:hAnsi="宋体" w:cs="宋体"/>
          <w:sz w:val="24"/>
          <w:szCs w:val="24"/>
        </w:rPr>
      </w:pPr>
      <w:r>
        <w:rPr>
          <w:rFonts w:hint="eastAsia" w:ascii="宋体" w:hAnsi="宋体" w:cs="宋体"/>
          <w:sz w:val="24"/>
          <w:szCs w:val="24"/>
        </w:rPr>
        <w:t>（五）谈判费用：无论谈判结果如何，供应商参与本项目谈判的所有费用均应由供应商自行承担。</w:t>
      </w:r>
    </w:p>
    <w:p w14:paraId="6982BB50">
      <w:pPr>
        <w:pStyle w:val="33"/>
        <w:spacing w:line="400" w:lineRule="exact"/>
        <w:ind w:firstLine="482" w:firstLineChars="200"/>
        <w:rPr>
          <w:rFonts w:ascii="宋体" w:hAnsi="宋体" w:cs="宋体"/>
          <w:sz w:val="24"/>
          <w:szCs w:val="24"/>
        </w:rPr>
      </w:pPr>
      <w:r>
        <w:rPr>
          <w:rFonts w:hint="eastAsia" w:ascii="宋体" w:hAnsi="宋体" w:cs="宋体"/>
          <w:b/>
          <w:sz w:val="24"/>
          <w:szCs w:val="24"/>
        </w:rPr>
        <w:t>（六）本项目不接受联合体参与谈判，否则按无效处理。</w:t>
      </w:r>
    </w:p>
    <w:p w14:paraId="5F8BBDAA">
      <w:pPr>
        <w:pStyle w:val="33"/>
        <w:spacing w:line="400" w:lineRule="exact"/>
        <w:ind w:firstLine="482" w:firstLineChars="200"/>
        <w:rPr>
          <w:rFonts w:ascii="宋体" w:hAnsi="宋体" w:cs="宋体"/>
          <w:b/>
          <w:sz w:val="24"/>
          <w:szCs w:val="24"/>
        </w:rPr>
      </w:pPr>
      <w:r>
        <w:rPr>
          <w:rFonts w:hint="eastAsia" w:ascii="宋体" w:hAnsi="宋体" w:cs="宋体"/>
          <w:b/>
          <w:sz w:val="24"/>
          <w:szCs w:val="24"/>
        </w:rPr>
        <w:t>（七）本项目不接受合同分包，否则按无效处理。</w:t>
      </w:r>
    </w:p>
    <w:p w14:paraId="47E532A7">
      <w:pPr>
        <w:pStyle w:val="33"/>
        <w:spacing w:line="400" w:lineRule="exact"/>
        <w:ind w:firstLine="480" w:firstLineChars="200"/>
        <w:rPr>
          <w:rFonts w:ascii="宋体" w:hAnsi="宋体" w:cs="宋体"/>
          <w:sz w:val="24"/>
          <w:szCs w:val="24"/>
        </w:rPr>
      </w:pPr>
      <w:r>
        <w:rPr>
          <w:rFonts w:hint="eastAsia" w:ascii="宋体" w:hAnsi="宋体" w:cs="宋体"/>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BDDE54C">
      <w:pPr>
        <w:pStyle w:val="3"/>
        <w:adjustRightInd w:val="0"/>
        <w:snapToGrid w:val="0"/>
        <w:spacing w:before="0" w:after="0" w:line="400" w:lineRule="exact"/>
        <w:ind w:firstLine="482" w:firstLineChars="200"/>
        <w:rPr>
          <w:rFonts w:ascii="宋体" w:hAnsi="宋体" w:cs="宋体"/>
        </w:rPr>
      </w:pPr>
      <w:bookmarkStart w:id="81" w:name="_Toc16449"/>
      <w:r>
        <w:rPr>
          <w:rFonts w:hint="eastAsia" w:ascii="宋体" w:hAnsi="宋体" w:cs="宋体"/>
        </w:rPr>
        <w:t>八、联系方式</w:t>
      </w:r>
      <w:bookmarkEnd w:id="73"/>
      <w:bookmarkEnd w:id="74"/>
      <w:bookmarkEnd w:id="75"/>
      <w:bookmarkEnd w:id="76"/>
      <w:bookmarkEnd w:id="77"/>
      <w:bookmarkEnd w:id="78"/>
      <w:bookmarkEnd w:id="79"/>
      <w:bookmarkEnd w:id="80"/>
      <w:bookmarkEnd w:id="81"/>
    </w:p>
    <w:p w14:paraId="0B41263C">
      <w:pPr>
        <w:spacing w:line="400" w:lineRule="exact"/>
        <w:ind w:firstLine="480" w:firstLineChars="200"/>
        <w:rPr>
          <w:rFonts w:ascii="宋体" w:hAnsi="宋体"/>
          <w:sz w:val="24"/>
          <w:szCs w:val="24"/>
        </w:rPr>
      </w:pPr>
      <w:bookmarkStart w:id="82" w:name="_Toc21507"/>
      <w:bookmarkStart w:id="83" w:name="_Toc27494"/>
      <w:bookmarkStart w:id="84" w:name="_Toc62652399"/>
      <w:bookmarkStart w:id="85" w:name="_Toc6801"/>
      <w:r>
        <w:rPr>
          <w:rFonts w:hint="eastAsia" w:ascii="宋体" w:hAnsi="宋体"/>
          <w:sz w:val="24"/>
          <w:szCs w:val="24"/>
        </w:rPr>
        <w:t>采购人：重庆市黔江区民族职业教育中心</w:t>
      </w:r>
    </w:p>
    <w:p w14:paraId="1A0869E2">
      <w:pPr>
        <w:spacing w:line="400" w:lineRule="exact"/>
        <w:ind w:firstLine="480" w:firstLineChars="200"/>
        <w:rPr>
          <w:rFonts w:ascii="宋体" w:hAnsi="宋体"/>
          <w:sz w:val="24"/>
          <w:szCs w:val="24"/>
        </w:rPr>
      </w:pPr>
      <w:r>
        <w:rPr>
          <w:rFonts w:hint="eastAsia" w:ascii="宋体" w:hAnsi="宋体"/>
          <w:sz w:val="24"/>
          <w:szCs w:val="24"/>
        </w:rPr>
        <w:t>联系人：付老师</w:t>
      </w:r>
    </w:p>
    <w:p w14:paraId="5193B78E">
      <w:pPr>
        <w:spacing w:line="400" w:lineRule="exact"/>
        <w:ind w:firstLine="480" w:firstLineChars="200"/>
        <w:rPr>
          <w:rFonts w:ascii="宋体" w:hAnsi="宋体"/>
          <w:sz w:val="24"/>
          <w:szCs w:val="24"/>
        </w:rPr>
      </w:pPr>
      <w:r>
        <w:rPr>
          <w:rFonts w:hint="eastAsia" w:ascii="宋体" w:hAnsi="宋体"/>
          <w:sz w:val="24"/>
          <w:szCs w:val="24"/>
        </w:rPr>
        <w:t>联系电话：023-85086317</w:t>
      </w:r>
    </w:p>
    <w:p w14:paraId="4008C475">
      <w:pPr>
        <w:spacing w:line="400" w:lineRule="exact"/>
        <w:ind w:firstLine="480" w:firstLineChars="200"/>
        <w:rPr>
          <w:rFonts w:ascii="宋体" w:hAnsi="宋体"/>
          <w:sz w:val="24"/>
          <w:szCs w:val="24"/>
        </w:rPr>
      </w:pPr>
      <w:r>
        <w:rPr>
          <w:rFonts w:hint="eastAsia" w:ascii="宋体" w:hAnsi="宋体"/>
          <w:sz w:val="24"/>
          <w:szCs w:val="24"/>
        </w:rPr>
        <w:t>项目联系人：董老师</w:t>
      </w:r>
    </w:p>
    <w:p w14:paraId="2DC288D9">
      <w:pPr>
        <w:spacing w:line="400" w:lineRule="exact"/>
        <w:ind w:firstLine="480" w:firstLineChars="200"/>
        <w:rPr>
          <w:rFonts w:ascii="宋体" w:hAnsi="宋体"/>
          <w:sz w:val="24"/>
          <w:szCs w:val="24"/>
        </w:rPr>
      </w:pPr>
      <w:r>
        <w:rPr>
          <w:rFonts w:hint="eastAsia" w:ascii="宋体" w:hAnsi="宋体"/>
          <w:sz w:val="24"/>
          <w:szCs w:val="24"/>
        </w:rPr>
        <w:t>联系电话：18696995409</w:t>
      </w:r>
    </w:p>
    <w:p w14:paraId="70FED2B2">
      <w:pPr>
        <w:spacing w:line="400" w:lineRule="exact"/>
        <w:ind w:firstLine="480" w:firstLineChars="200"/>
        <w:rPr>
          <w:rFonts w:ascii="宋体" w:hAnsi="宋体"/>
          <w:sz w:val="24"/>
          <w:szCs w:val="24"/>
        </w:rPr>
      </w:pPr>
      <w:r>
        <w:rPr>
          <w:rFonts w:hint="eastAsia" w:ascii="宋体" w:hAnsi="宋体"/>
          <w:sz w:val="24"/>
          <w:szCs w:val="24"/>
        </w:rPr>
        <w:t>地  址：重庆市黔江区舟白街道</w:t>
      </w:r>
      <w:bookmarkStart w:id="86" w:name="_Toc10765"/>
      <w:bookmarkEnd w:id="86"/>
      <w:r>
        <w:rPr>
          <w:rFonts w:hint="eastAsia" w:ascii="宋体" w:hAnsi="宋体"/>
          <w:sz w:val="24"/>
          <w:szCs w:val="24"/>
        </w:rPr>
        <w:t>正舟路北段503号</w:t>
      </w:r>
    </w:p>
    <w:bookmarkEnd w:id="82"/>
    <w:bookmarkEnd w:id="83"/>
    <w:bookmarkEnd w:id="84"/>
    <w:bookmarkEnd w:id="85"/>
    <w:p w14:paraId="48D08E8D">
      <w:pPr>
        <w:snapToGrid w:val="0"/>
        <w:spacing w:line="400" w:lineRule="exact"/>
        <w:ind w:firstLine="420" w:firstLineChars="200"/>
        <w:outlineLvl w:val="2"/>
        <w:rPr>
          <w:rStyle w:val="65"/>
          <w:kern w:val="0"/>
        </w:rPr>
      </w:pPr>
      <w:bookmarkStart w:id="87" w:name="_Toc27564"/>
      <w:bookmarkStart w:id="88" w:name="_Toc65660338"/>
      <w:bookmarkStart w:id="89" w:name="_Toc14516"/>
      <w:bookmarkStart w:id="90" w:name="_Toc1292"/>
      <w:bookmarkStart w:id="91" w:name="_Toc1933"/>
      <w:bookmarkStart w:id="92" w:name="_Toc30613"/>
      <w:bookmarkStart w:id="93" w:name="_Toc102227313"/>
    </w:p>
    <w:p w14:paraId="621809FC">
      <w:pPr>
        <w:snapToGrid w:val="0"/>
        <w:spacing w:line="400" w:lineRule="exact"/>
        <w:ind w:firstLine="420" w:firstLineChars="200"/>
        <w:outlineLvl w:val="2"/>
        <w:rPr>
          <w:rStyle w:val="65"/>
          <w:kern w:val="0"/>
        </w:rPr>
      </w:pPr>
    </w:p>
    <w:p w14:paraId="4F858DCA">
      <w:pPr>
        <w:pStyle w:val="2"/>
        <w:ind w:firstLine="2530" w:firstLineChars="700"/>
        <w:jc w:val="both"/>
        <w:rPr>
          <w:rFonts w:cs="宋体"/>
          <w:bCs/>
        </w:rPr>
      </w:pPr>
      <w:r>
        <w:rPr>
          <w:rFonts w:hint="eastAsia" w:cs="宋体"/>
          <w:bCs/>
        </w:rPr>
        <w:br w:type="page"/>
      </w:r>
      <w:bookmarkStart w:id="94" w:name="_Toc4793"/>
      <w:r>
        <w:rPr>
          <w:rFonts w:hint="eastAsia" w:cs="宋体"/>
          <w:bCs/>
        </w:rPr>
        <w:t>第二篇  项目服务需求</w:t>
      </w:r>
      <w:bookmarkEnd w:id="87"/>
      <w:bookmarkEnd w:id="88"/>
      <w:bookmarkEnd w:id="89"/>
      <w:bookmarkEnd w:id="90"/>
      <w:bookmarkEnd w:id="91"/>
      <w:bookmarkEnd w:id="92"/>
      <w:bookmarkEnd w:id="94"/>
    </w:p>
    <w:p w14:paraId="151F6AB5">
      <w:pPr>
        <w:widowControl/>
        <w:ind w:firstLine="482" w:firstLineChars="200"/>
        <w:jc w:val="left"/>
        <w:rPr>
          <w:rFonts w:ascii="宋体" w:hAnsi="宋体" w:cs="宋体"/>
          <w:b/>
          <w:sz w:val="24"/>
        </w:rPr>
      </w:pPr>
      <w:r>
        <w:rPr>
          <w:rFonts w:hint="eastAsia" w:ascii="宋体" w:hAnsi="宋体" w:cs="宋体"/>
          <w:b/>
          <w:sz w:val="24"/>
        </w:rPr>
        <w:t xml:space="preserve">一、项目基本情况介绍 </w:t>
      </w:r>
    </w:p>
    <w:p w14:paraId="3FDAA20B">
      <w:pPr>
        <w:snapToGrid w:val="0"/>
        <w:spacing w:line="400" w:lineRule="exact"/>
        <w:ind w:firstLine="480" w:firstLineChars="200"/>
        <w:rPr>
          <w:rFonts w:ascii="宋体" w:hAnsi="宋体" w:cs="宋体"/>
          <w:sz w:val="24"/>
          <w:szCs w:val="24"/>
        </w:rPr>
      </w:pPr>
      <w:r>
        <w:rPr>
          <w:rFonts w:hint="eastAsia" w:ascii="宋体" w:hAnsi="宋体" w:cs="宋体"/>
          <w:sz w:val="24"/>
          <w:szCs w:val="24"/>
        </w:rPr>
        <w:t>（一）工程名称：警务室建设</w:t>
      </w:r>
    </w:p>
    <w:p w14:paraId="54383C83">
      <w:pPr>
        <w:snapToGrid w:val="0"/>
        <w:spacing w:line="400" w:lineRule="exact"/>
        <w:ind w:firstLine="480" w:firstLineChars="200"/>
        <w:rPr>
          <w:rFonts w:ascii="宋体" w:hAnsi="宋体" w:cs="宋体"/>
          <w:sz w:val="24"/>
          <w:szCs w:val="24"/>
        </w:rPr>
      </w:pPr>
      <w:r>
        <w:rPr>
          <w:rFonts w:hint="eastAsia" w:ascii="宋体" w:hAnsi="宋体" w:cs="宋体"/>
          <w:sz w:val="24"/>
          <w:szCs w:val="24"/>
        </w:rPr>
        <w:t>（二）建设地点：重庆市黔江区舟白街道正舟路北段503号</w:t>
      </w:r>
    </w:p>
    <w:p w14:paraId="653228D2">
      <w:pPr>
        <w:snapToGrid w:val="0"/>
        <w:spacing w:line="400" w:lineRule="exact"/>
        <w:ind w:firstLine="480" w:firstLineChars="200"/>
        <w:rPr>
          <w:rFonts w:ascii="宋体" w:hAnsi="宋体" w:cs="宋体"/>
          <w:sz w:val="24"/>
          <w:szCs w:val="24"/>
        </w:rPr>
      </w:pPr>
      <w:r>
        <w:rPr>
          <w:rFonts w:hint="eastAsia" w:ascii="宋体" w:hAnsi="宋体" w:cs="宋体"/>
          <w:sz w:val="24"/>
          <w:szCs w:val="24"/>
        </w:rPr>
        <w:t>（三）建设规模：采用砖混结构，地上一层，规划建设三间用房及三个卫生间，建筑面约70平方米。</w:t>
      </w:r>
    </w:p>
    <w:p w14:paraId="5DB70C47">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（四）施工范围：完成本项目工程量清单及施工图所示的全部工作内容，具体详见本项目施工图及工程量清单。 </w:t>
      </w:r>
    </w:p>
    <w:p w14:paraId="7C81ABCA">
      <w:pPr>
        <w:widowControl/>
        <w:ind w:firstLine="482" w:firstLineChars="200"/>
        <w:jc w:val="left"/>
        <w:rPr>
          <w:rFonts w:ascii="宋体" w:hAnsi="宋体" w:cs="宋体"/>
          <w:b/>
          <w:sz w:val="24"/>
        </w:rPr>
      </w:pPr>
      <w:r>
        <w:rPr>
          <w:rFonts w:hint="eastAsia" w:ascii="宋体" w:hAnsi="宋体" w:cs="宋体"/>
          <w:b/>
          <w:sz w:val="24"/>
        </w:rPr>
        <w:t xml:space="preserve">二、工程质量标准 </w:t>
      </w:r>
    </w:p>
    <w:p w14:paraId="48C1B9E9">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符合强制性质量标准，符合国家和重庆市现行有关施工质量验收规范要求，并达到合格标准。 </w:t>
      </w:r>
    </w:p>
    <w:p w14:paraId="28ED4F62">
      <w:pPr>
        <w:widowControl/>
        <w:ind w:firstLine="482" w:firstLineChars="200"/>
        <w:jc w:val="left"/>
        <w:rPr>
          <w:rFonts w:ascii="宋体" w:hAnsi="宋体" w:cs="宋体"/>
          <w:b/>
          <w:sz w:val="24"/>
        </w:rPr>
      </w:pPr>
      <w:r>
        <w:rPr>
          <w:rFonts w:hint="eastAsia" w:ascii="宋体" w:hAnsi="宋体" w:cs="宋体"/>
          <w:b/>
          <w:sz w:val="24"/>
        </w:rPr>
        <w:t xml:space="preserve">三、工程施工安全要求 </w:t>
      </w:r>
    </w:p>
    <w:p w14:paraId="3D3C2CAC">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（一）供应商应遵守安全生产，严格按照安全标准组织实施，派往项目的安全员施工期间须全时段在施工现场进行安全管理，采取必要的安全防护措施，消除隐患，确保施工安全。 </w:t>
      </w:r>
    </w:p>
    <w:p w14:paraId="3F4C5B29">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（二）供应商应遵守安全生产的有关管理规定，严格按照安全标准组织实施，采取必要的安全防护措施， 消除隐患。在施工过程中由于供应商管理或安全措施不力造成周边环境破坏或事故责任和因此发生的费用，由供应商承担。供应商负责进入现场实施人员及财物安全，发生任何伤亡事故与采购人无关，如因施工导致第三人人身、财产损失由供应商承担赔偿责任。 </w:t>
      </w:r>
    </w:p>
    <w:p w14:paraId="7A935751">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（三）在施工过程中由于供应商管理或安全措施不力造成周边环境破坏或事故责任和因此造成的损失，由供应商自行承担。 </w:t>
      </w:r>
    </w:p>
    <w:p w14:paraId="22A2600C">
      <w:pPr>
        <w:widowControl/>
        <w:ind w:firstLine="482" w:firstLineChars="200"/>
        <w:jc w:val="left"/>
        <w:rPr>
          <w:rFonts w:ascii="宋体" w:hAnsi="宋体" w:cs="宋体"/>
          <w:b/>
          <w:sz w:val="24"/>
        </w:rPr>
      </w:pPr>
      <w:r>
        <w:rPr>
          <w:rFonts w:hint="eastAsia" w:ascii="宋体" w:hAnsi="宋体" w:cs="宋体"/>
          <w:b/>
          <w:sz w:val="24"/>
        </w:rPr>
        <w:t xml:space="preserve">四、工程施工环境要求 </w:t>
      </w:r>
    </w:p>
    <w:p w14:paraId="782A4D74">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（一）严格遵守施工企业有关管理规定，施工过程中，施工区域始终保持完全完整封闭状态施工，除渣、运输等环节不得有粉尘污染。如遇特殊情况要严格按照采购人要求暂停施工。 </w:t>
      </w:r>
    </w:p>
    <w:p w14:paraId="64EE6C58">
      <w:pPr>
        <w:snapToGrid w:val="0"/>
        <w:spacing w:line="400" w:lineRule="exact"/>
        <w:ind w:firstLine="480" w:firstLineChars="200"/>
        <w:rPr>
          <w:rFonts w:ascii="宋体" w:hAnsi="宋体" w:cs="宋体"/>
          <w:sz w:val="24"/>
          <w:szCs w:val="24"/>
        </w:rPr>
      </w:pPr>
      <w:r>
        <w:rPr>
          <w:rFonts w:hint="eastAsia" w:ascii="宋体" w:hAnsi="宋体" w:cs="宋体"/>
          <w:sz w:val="24"/>
          <w:szCs w:val="24"/>
        </w:rPr>
        <w:t>（二）供应商须做到安全文明施工，做好施工噪声及扬尘控制等，不能影响采购人正常办公秩序。</w:t>
      </w:r>
    </w:p>
    <w:p w14:paraId="13E0B556">
      <w:pPr>
        <w:widowControl/>
        <w:ind w:firstLine="482" w:firstLineChars="200"/>
        <w:jc w:val="left"/>
        <w:rPr>
          <w:rFonts w:ascii="宋体" w:hAnsi="宋体" w:cs="宋体"/>
          <w:b/>
          <w:sz w:val="24"/>
        </w:rPr>
      </w:pPr>
      <w:r>
        <w:rPr>
          <w:rFonts w:hint="eastAsia" w:ascii="宋体" w:hAnsi="宋体" w:cs="宋体"/>
          <w:b/>
          <w:sz w:val="24"/>
        </w:rPr>
        <w:t xml:space="preserve">五、踏勘现场 </w:t>
      </w:r>
    </w:p>
    <w:p w14:paraId="6EB26C07">
      <w:pPr>
        <w:snapToGrid w:val="0"/>
        <w:spacing w:line="400" w:lineRule="exact"/>
        <w:ind w:firstLine="480" w:firstLineChars="200"/>
        <w:rPr>
          <w:rFonts w:ascii="宋体" w:hAnsi="宋体" w:cs="宋体"/>
          <w:sz w:val="24"/>
          <w:szCs w:val="24"/>
        </w:rPr>
      </w:pPr>
      <w:r>
        <w:rPr>
          <w:rFonts w:hint="eastAsia" w:ascii="宋体" w:hAnsi="宋体" w:cs="宋体"/>
          <w:sz w:val="24"/>
          <w:szCs w:val="24"/>
        </w:rPr>
        <w:t>（一）采购人不组织集中踏勘，各供应商可在谈判开始前自行前往施工现场进行踏勘了解现场情况并在响应文件中予以体现。对因踏勘现场而造成的死亡、人身伤害、财产损失和产生的费用等供应商承担全部责任。如因供应商踏勘量与实际发生量不符等原因导致的后果，由供应商自行负责。放弃踏勘的，事后不得提出异议。</w:t>
      </w:r>
    </w:p>
    <w:p w14:paraId="4CF855F1">
      <w:pPr>
        <w:snapToGrid w:val="0"/>
        <w:spacing w:line="400" w:lineRule="exact"/>
        <w:ind w:firstLine="480" w:firstLineChars="200"/>
        <w:rPr>
          <w:rFonts w:ascii="宋体" w:hAnsi="宋体" w:cs="宋体"/>
          <w:sz w:val="24"/>
          <w:szCs w:val="24"/>
        </w:rPr>
      </w:pPr>
      <w:r>
        <w:rPr>
          <w:rFonts w:hint="eastAsia" w:ascii="宋体" w:hAnsi="宋体" w:cs="宋体"/>
          <w:sz w:val="24"/>
          <w:szCs w:val="24"/>
        </w:rPr>
        <w:t>（二）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012D4FFB">
      <w:pPr>
        <w:snapToGrid w:val="0"/>
        <w:spacing w:line="400" w:lineRule="exact"/>
        <w:ind w:firstLine="480" w:firstLineChars="200"/>
        <w:rPr>
          <w:rFonts w:ascii="宋体" w:hAnsi="宋体" w:cs="宋体"/>
          <w:sz w:val="24"/>
          <w:szCs w:val="24"/>
        </w:rPr>
      </w:pPr>
      <w:r>
        <w:rPr>
          <w:rFonts w:hint="eastAsia" w:ascii="宋体" w:hAnsi="宋体" w:cs="宋体"/>
          <w:sz w:val="24"/>
          <w:szCs w:val="24"/>
        </w:rPr>
        <w:t>（三）踏勘时间：自采购公告发布之日起3个工作日内（法定工作时间内）</w:t>
      </w:r>
    </w:p>
    <w:p w14:paraId="4C69B2F4">
      <w:pPr>
        <w:snapToGrid w:val="0"/>
        <w:spacing w:line="400" w:lineRule="exact"/>
        <w:ind w:firstLine="480" w:firstLineChars="200"/>
        <w:rPr>
          <w:rFonts w:ascii="宋体" w:hAnsi="宋体" w:cs="宋体"/>
          <w:sz w:val="24"/>
          <w:szCs w:val="24"/>
        </w:rPr>
      </w:pPr>
      <w:r>
        <w:rPr>
          <w:rFonts w:hint="eastAsia" w:ascii="宋体" w:hAnsi="宋体" w:cs="宋体"/>
          <w:sz w:val="24"/>
          <w:szCs w:val="24"/>
        </w:rPr>
        <w:t>（四）踏勘地点：黔江区民族职业教育中心校园内（2号门旁）</w:t>
      </w:r>
    </w:p>
    <w:p w14:paraId="0D28B70D">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（五）工程施工技术要求： </w:t>
      </w:r>
    </w:p>
    <w:p w14:paraId="6B1148E6">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1．本工程施工严格按照采购人提供的本项目设计施工图及工程量清单要求执行，做到安全施工、文明施工，其他未尽事宜以施工合同约定为准。 </w:t>
      </w:r>
    </w:p>
    <w:p w14:paraId="62FFFE8D">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2．供应商委派到工程现场的施工管理、技术人员的数量应满足工程正常施工的需要；供应商应为每个主要岗位指派称职和具有相应上岗资质证书的技术管理人员。 </w:t>
      </w:r>
    </w:p>
    <w:p w14:paraId="475EF7AD">
      <w:pPr>
        <w:snapToGrid w:val="0"/>
        <w:spacing w:line="400" w:lineRule="exact"/>
        <w:ind w:firstLine="482" w:firstLineChars="200"/>
        <w:rPr>
          <w:rFonts w:ascii="宋体" w:hAnsi="宋体" w:cs="宋体"/>
          <w:b/>
          <w:sz w:val="24"/>
          <w:szCs w:val="24"/>
        </w:rPr>
      </w:pPr>
      <w:r>
        <w:rPr>
          <w:rFonts w:hint="eastAsia" w:ascii="宋体" w:hAnsi="宋体" w:cs="宋体"/>
          <w:b/>
          <w:sz w:val="24"/>
          <w:szCs w:val="24"/>
        </w:rPr>
        <w:t xml:space="preserve">六、其他要求 </w:t>
      </w:r>
    </w:p>
    <w:p w14:paraId="451639E4">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1．供应商在进场后，以成交价格过低无法实施等理由故意拖延工期，在施工现场恶意违约，采购人可立即终止合同。 </w:t>
      </w:r>
    </w:p>
    <w:p w14:paraId="6BE1DEED">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2．供应商应严格按照采购人的施工图施工，不得随意变更；确需变更的，须按权限报批，经采购人同意并修改后实施。 </w:t>
      </w:r>
    </w:p>
    <w:p w14:paraId="46AAE6FD">
      <w:pPr>
        <w:snapToGrid w:val="0"/>
        <w:spacing w:line="400" w:lineRule="exact"/>
        <w:ind w:firstLine="480" w:firstLineChars="200"/>
        <w:rPr>
          <w:rFonts w:ascii="宋体" w:hAnsi="宋体" w:cs="宋体"/>
          <w:sz w:val="24"/>
          <w:szCs w:val="24"/>
        </w:rPr>
      </w:pPr>
      <w:r>
        <w:rPr>
          <w:rFonts w:hint="eastAsia" w:ascii="宋体" w:hAnsi="宋体" w:cs="宋体"/>
          <w:sz w:val="24"/>
          <w:szCs w:val="24"/>
        </w:rPr>
        <w:t>3．供应商在主要材料进场前须将标明品牌、型号及价格信息的材料清单报送采购人审核。经采购人审核确认无误后，方可组织进场。如采购人对所报供货清单提出异议，供应商应及时更换相关产品，并重新提交审核，直至获得采购人审核通过。如发现成交供应商以劣充好，或与采购人确认的材料不符，采购人有权要求成交供应商更换直至采购人（或监理）确认其合格，并对成交供应商处以该批材料价值总额的10%的违约金，由采购人在工程款中</w:t>
      </w:r>
      <w:r>
        <w:rPr>
          <w:rFonts w:hint="eastAsia" w:ascii="宋体" w:hAnsi="宋体" w:cs="宋体"/>
          <w:sz w:val="24"/>
          <w:szCs w:val="24"/>
          <w:lang w:eastAsia="zh-CN"/>
        </w:rPr>
        <w:t>扣除</w:t>
      </w:r>
      <w:r>
        <w:rPr>
          <w:rFonts w:hint="eastAsia" w:ascii="宋体" w:hAnsi="宋体" w:cs="宋体"/>
          <w:sz w:val="24"/>
          <w:szCs w:val="24"/>
        </w:rPr>
        <w:t xml:space="preserve">。 </w:t>
      </w:r>
    </w:p>
    <w:p w14:paraId="6B97EB7C">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4．因供应商资金、技术实力、材料、设备等资源投入不足，直接影响工程质量或工期，且在采购人多次警告后仍不改正的，采购人有权采取相关措施进行补救，发生的费用由供应商承担。 </w:t>
      </w:r>
    </w:p>
    <w:p w14:paraId="1BFEC275">
      <w:pPr>
        <w:snapToGrid w:val="0"/>
        <w:spacing w:line="400" w:lineRule="exact"/>
        <w:ind w:firstLine="480" w:firstLineChars="200"/>
        <w:rPr>
          <w:rFonts w:ascii="宋体" w:hAnsi="宋体" w:cs="宋体"/>
          <w:sz w:val="24"/>
          <w:szCs w:val="24"/>
        </w:rPr>
      </w:pPr>
      <w:r>
        <w:rPr>
          <w:rFonts w:hint="eastAsia" w:ascii="宋体" w:hAnsi="宋体" w:cs="宋体"/>
          <w:sz w:val="24"/>
          <w:szCs w:val="24"/>
        </w:rPr>
        <w:t xml:space="preserve">5．在履约服务期限内，供应商自行组织人员完成合同约定事务，并按国家法律法规的要求完善用工制度，供应商为完成合同约定事务自行聘请的人员工资、福利、社保等用工责任由供应商自行承担，因供应商未完善而引起的劳动争议由供应商自行负责。 </w:t>
      </w:r>
    </w:p>
    <w:p w14:paraId="495E7D3E">
      <w:pPr>
        <w:snapToGrid w:val="0"/>
        <w:spacing w:line="400" w:lineRule="exact"/>
        <w:ind w:firstLine="480" w:firstLineChars="200"/>
        <w:rPr>
          <w:rFonts w:ascii="宋体" w:hAnsi="宋体" w:cs="宋体"/>
          <w:sz w:val="24"/>
          <w:szCs w:val="24"/>
        </w:rPr>
      </w:pPr>
      <w:r>
        <w:rPr>
          <w:rFonts w:hint="eastAsia" w:ascii="宋体" w:hAnsi="宋体" w:cs="宋体"/>
          <w:sz w:val="24"/>
          <w:szCs w:val="24"/>
        </w:rPr>
        <w:t>6．供应商人员因自身工作失误造成设备、现场、人员及其他损失由供应商自行负责，采购人不承担责任。 供应商的工作人员在为采购人的服务期间，因疾病、工伤、意外伤害、疾病传染、劳动保护、职业病等所产生的一切费用，均由供应商自行负责。</w:t>
      </w:r>
    </w:p>
    <w:p w14:paraId="524FD583">
      <w:pPr>
        <w:snapToGrid w:val="0"/>
        <w:spacing w:line="400" w:lineRule="exact"/>
        <w:ind w:firstLine="480" w:firstLineChars="200"/>
        <w:rPr>
          <w:rFonts w:ascii="宋体" w:hAnsi="宋体" w:cs="宋体"/>
          <w:sz w:val="24"/>
          <w:szCs w:val="24"/>
        </w:rPr>
      </w:pPr>
    </w:p>
    <w:p w14:paraId="6096E64C">
      <w:pPr>
        <w:pStyle w:val="2"/>
        <w:ind w:firstLine="1687" w:firstLineChars="700"/>
        <w:jc w:val="both"/>
        <w:rPr>
          <w:rFonts w:cs="宋体"/>
          <w:bCs/>
        </w:rPr>
      </w:pPr>
      <w:r>
        <w:rPr>
          <w:rFonts w:hint="eastAsia" w:cs="宋体"/>
          <w:sz w:val="24"/>
          <w:szCs w:val="24"/>
        </w:rPr>
        <w:br w:type="page"/>
      </w:r>
      <w:bookmarkStart w:id="95" w:name="_Toc2929"/>
      <w:bookmarkStart w:id="96" w:name="_Toc65660341"/>
      <w:bookmarkStart w:id="97" w:name="_Toc13356"/>
      <w:bookmarkStart w:id="98" w:name="_Toc15492"/>
      <w:bookmarkStart w:id="99" w:name="_Toc21476"/>
      <w:bookmarkStart w:id="100" w:name="_Toc11371"/>
      <w:bookmarkStart w:id="101" w:name="_Toc838"/>
      <w:r>
        <w:rPr>
          <w:rFonts w:hint="eastAsia" w:cs="宋体"/>
          <w:sz w:val="24"/>
          <w:szCs w:val="24"/>
          <w:lang w:val="en-US" w:eastAsia="zh-CN"/>
        </w:rPr>
        <w:t xml:space="preserve">       </w:t>
      </w:r>
      <w:r>
        <w:rPr>
          <w:rFonts w:hint="eastAsia" w:cs="宋体"/>
          <w:bCs/>
        </w:rPr>
        <w:t xml:space="preserve">第三篇  </w:t>
      </w:r>
      <w:bookmarkEnd w:id="93"/>
      <w:bookmarkEnd w:id="95"/>
      <w:bookmarkEnd w:id="96"/>
      <w:bookmarkEnd w:id="97"/>
      <w:bookmarkEnd w:id="98"/>
      <w:bookmarkEnd w:id="99"/>
      <w:bookmarkEnd w:id="100"/>
      <w:r>
        <w:rPr>
          <w:rFonts w:hint="eastAsia" w:cs="宋体"/>
          <w:bCs/>
        </w:rPr>
        <w:t>项目商务需求</w:t>
      </w:r>
      <w:bookmarkEnd w:id="101"/>
    </w:p>
    <w:p w14:paraId="253B974F">
      <w:pPr>
        <w:pStyle w:val="3"/>
        <w:adjustRightInd w:val="0"/>
        <w:snapToGrid w:val="0"/>
        <w:spacing w:before="0" w:after="0" w:line="400" w:lineRule="exact"/>
        <w:ind w:firstLine="482" w:firstLineChars="200"/>
        <w:rPr>
          <w:rFonts w:ascii="宋体" w:hAnsi="宋体" w:cs="宋体"/>
        </w:rPr>
      </w:pPr>
      <w:bookmarkStart w:id="102" w:name="_Toc12935"/>
      <w:bookmarkStart w:id="103" w:name="_Toc31226"/>
      <w:bookmarkStart w:id="104" w:name="_Toc5046"/>
      <w:bookmarkStart w:id="105" w:name="_Toc65660342"/>
      <w:bookmarkStart w:id="106" w:name="_Toc13555"/>
      <w:bookmarkStart w:id="107" w:name="_Toc14518"/>
      <w:bookmarkStart w:id="108" w:name="_Toc2164"/>
      <w:bookmarkStart w:id="109" w:name="_Toc342913389"/>
      <w:r>
        <w:rPr>
          <w:rFonts w:hint="eastAsia" w:ascii="宋体" w:hAnsi="宋体" w:cs="宋体"/>
        </w:rPr>
        <w:t>一、</w:t>
      </w:r>
      <w:bookmarkEnd w:id="102"/>
      <w:bookmarkEnd w:id="103"/>
      <w:bookmarkEnd w:id="104"/>
      <w:bookmarkEnd w:id="105"/>
      <w:bookmarkEnd w:id="106"/>
      <w:bookmarkEnd w:id="107"/>
      <w:r>
        <w:rPr>
          <w:rFonts w:hint="eastAsia" w:ascii="宋体" w:hAnsi="宋体" w:cs="宋体"/>
        </w:rPr>
        <w:t>计划工期、项目地点及验收方式</w:t>
      </w:r>
      <w:bookmarkEnd w:id="108"/>
    </w:p>
    <w:p w14:paraId="042CCFF9">
      <w:pPr>
        <w:pStyle w:val="33"/>
        <w:spacing w:line="400" w:lineRule="exact"/>
        <w:ind w:firstLine="360" w:firstLineChars="150"/>
        <w:outlineLvl w:val="2"/>
        <w:rPr>
          <w:rFonts w:ascii="宋体" w:hAnsi="宋体" w:cs="宋体"/>
          <w:sz w:val="24"/>
          <w:szCs w:val="24"/>
        </w:rPr>
      </w:pPr>
      <w:r>
        <w:rPr>
          <w:rFonts w:hint="eastAsia" w:ascii="宋体" w:hAnsi="宋体" w:cs="宋体"/>
          <w:sz w:val="24"/>
          <w:szCs w:val="24"/>
        </w:rPr>
        <w:t>（一）计划工期：</w:t>
      </w:r>
    </w:p>
    <w:p w14:paraId="0C8A989B">
      <w:pPr>
        <w:pStyle w:val="33"/>
        <w:tabs>
          <w:tab w:val="left" w:pos="4905"/>
        </w:tabs>
        <w:spacing w:line="400" w:lineRule="exact"/>
        <w:ind w:firstLine="480" w:firstLineChars="200"/>
        <w:rPr>
          <w:rFonts w:ascii="宋体" w:hAnsi="宋体" w:cs="宋体"/>
          <w:sz w:val="24"/>
          <w:szCs w:val="24"/>
        </w:rPr>
      </w:pPr>
      <w:r>
        <w:rPr>
          <w:rFonts w:hint="eastAsia" w:ascii="宋体" w:hAnsi="宋体" w:cs="宋体"/>
          <w:sz w:val="24"/>
          <w:szCs w:val="24"/>
        </w:rPr>
        <w:t>成交供应商在采购合同签订后，</w:t>
      </w:r>
      <w:r>
        <w:rPr>
          <w:rFonts w:hint="eastAsia" w:ascii="宋体" w:hAnsi="宋体" w:cs="宋体"/>
          <w:sz w:val="24"/>
          <w:szCs w:val="24"/>
          <w:lang w:val="zh-CN"/>
        </w:rPr>
        <w:t>采购人通知开工起算，于</w:t>
      </w:r>
      <w:r>
        <w:rPr>
          <w:rFonts w:hint="eastAsia" w:ascii="宋体" w:hAnsi="宋体" w:cs="宋体"/>
          <w:sz w:val="24"/>
          <w:szCs w:val="24"/>
        </w:rPr>
        <w:t>45个日历日内完成所有建设内容，并通过采购人组织的验收环节完成交付。</w:t>
      </w:r>
    </w:p>
    <w:p w14:paraId="115DBC9B">
      <w:pPr>
        <w:pStyle w:val="33"/>
        <w:spacing w:line="400" w:lineRule="exact"/>
        <w:ind w:firstLine="360" w:firstLineChars="150"/>
        <w:outlineLvl w:val="2"/>
        <w:rPr>
          <w:rFonts w:ascii="宋体" w:hAnsi="宋体" w:cs="宋体"/>
          <w:sz w:val="24"/>
          <w:szCs w:val="24"/>
        </w:rPr>
      </w:pPr>
      <w:r>
        <w:rPr>
          <w:rFonts w:hint="eastAsia" w:ascii="宋体" w:hAnsi="宋体" w:cs="宋体"/>
          <w:sz w:val="24"/>
          <w:szCs w:val="24"/>
        </w:rPr>
        <w:t>（二）项目地点：</w:t>
      </w:r>
    </w:p>
    <w:p w14:paraId="6B8B8348">
      <w:pPr>
        <w:spacing w:line="400" w:lineRule="exact"/>
        <w:ind w:firstLine="480" w:firstLineChars="200"/>
        <w:rPr>
          <w:rFonts w:ascii="宋体" w:hAnsi="宋体"/>
          <w:sz w:val="24"/>
          <w:szCs w:val="24"/>
        </w:rPr>
      </w:pPr>
      <w:r>
        <w:rPr>
          <w:rFonts w:hint="eastAsia" w:ascii="宋体" w:hAnsi="宋体"/>
          <w:sz w:val="24"/>
          <w:szCs w:val="24"/>
        </w:rPr>
        <w:t>重庆市黔江区舟白街道正舟路北段503号</w:t>
      </w:r>
      <w:r>
        <w:rPr>
          <w:rFonts w:hint="eastAsia" w:ascii="宋体" w:hAnsi="宋体" w:cs="宋体"/>
          <w:sz w:val="24"/>
          <w:szCs w:val="24"/>
        </w:rPr>
        <w:t>校园内（2号门旁）</w:t>
      </w:r>
    </w:p>
    <w:p w14:paraId="7AFF0B6A">
      <w:pPr>
        <w:pStyle w:val="33"/>
        <w:spacing w:line="400" w:lineRule="exact"/>
        <w:ind w:firstLine="360" w:firstLineChars="150"/>
        <w:outlineLvl w:val="2"/>
        <w:rPr>
          <w:rFonts w:ascii="宋体" w:hAnsi="宋体" w:cs="宋体"/>
          <w:sz w:val="24"/>
          <w:szCs w:val="24"/>
        </w:rPr>
      </w:pPr>
      <w:r>
        <w:rPr>
          <w:rFonts w:hint="eastAsia" w:ascii="宋体" w:hAnsi="宋体" w:cs="宋体"/>
          <w:sz w:val="24"/>
          <w:szCs w:val="24"/>
        </w:rPr>
        <w:t>（三）验收方式：</w:t>
      </w:r>
    </w:p>
    <w:p w14:paraId="56977CEC">
      <w:pPr>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项目施工完成后，工程质量、工程材料须符合本项目竞争性谈判文件、国家行业标准及重庆市工程验收规范要求，设施设备须满足采购文件要求，由成交供应商提出验收申请，采购人组织开展对项目的验收工作。</w:t>
      </w:r>
    </w:p>
    <w:p w14:paraId="5AF18E7D">
      <w:pPr>
        <w:spacing w:line="400" w:lineRule="exact"/>
        <w:ind w:firstLine="480" w:firstLineChars="200"/>
        <w:rPr>
          <w:rFonts w:ascii="宋体" w:hAnsi="宋体" w:cs="宋体"/>
          <w:sz w:val="24"/>
          <w:szCs w:val="24"/>
        </w:rPr>
      </w:pPr>
      <w:r>
        <w:rPr>
          <w:rFonts w:hint="eastAsia" w:ascii="宋体" w:hAnsi="宋体" w:cs="宋体"/>
          <w:sz w:val="24"/>
          <w:szCs w:val="24"/>
          <w:lang w:val="zh-CN"/>
        </w:rPr>
        <w:t>采购人与成交供应商双方对照采购文件、施工图及工程量清单所覆盖的所有内容现场验收，并对每个条款规定的具体参数、规格、质量、施工要求等进行详细核对，全部合格后方可验收通过，并形成专门的验收报告。若</w:t>
      </w:r>
      <w:r>
        <w:rPr>
          <w:rFonts w:hint="eastAsia" w:ascii="宋体" w:hAnsi="宋体" w:cs="宋体"/>
          <w:sz w:val="24"/>
          <w:szCs w:val="24"/>
        </w:rPr>
        <w:t>因工程质量不满足采购人要求或未达到竞争性谈判文件要求导致验收不合格，由此造成的时间和经济损失由成交供应商全权承担。</w:t>
      </w:r>
    </w:p>
    <w:p w14:paraId="1116FABA">
      <w:pPr>
        <w:pStyle w:val="3"/>
        <w:adjustRightInd w:val="0"/>
        <w:snapToGrid w:val="0"/>
        <w:spacing w:before="0" w:after="0" w:line="400" w:lineRule="exact"/>
        <w:ind w:firstLine="482" w:firstLineChars="200"/>
        <w:rPr>
          <w:rFonts w:ascii="宋体" w:hAnsi="宋体" w:cs="宋体"/>
        </w:rPr>
      </w:pPr>
      <w:bookmarkStart w:id="110" w:name="_Toc2141"/>
      <w:bookmarkStart w:id="111" w:name="_Toc104552591"/>
      <w:bookmarkStart w:id="112" w:name="_Toc165280356"/>
      <w:bookmarkStart w:id="113" w:name="_Toc109826057"/>
      <w:bookmarkStart w:id="114" w:name="_Toc517"/>
      <w:bookmarkStart w:id="115" w:name="_Toc105753148"/>
      <w:r>
        <w:rPr>
          <w:rFonts w:hint="eastAsia" w:ascii="宋体" w:hAnsi="宋体" w:cs="宋体"/>
        </w:rPr>
        <w:t>二、谈判报价要求</w:t>
      </w:r>
      <w:bookmarkEnd w:id="110"/>
    </w:p>
    <w:p w14:paraId="5470AAFB">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本项目采用人民币报价，采用总价包干合同，各供应商对采购人提供的工程量清单和现场情况进行自主报价，总价应包括但不限于完成该项目所需的人工费、材料费、机械费、管理费、利润、风险费用、税金、安全文明施工费、措施费、规费等的所有费用。</w:t>
      </w:r>
    </w:p>
    <w:p w14:paraId="1B846F93">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 xml:space="preserve">（二）采购人在工程量清单中所列出的专业工程暂估价、暂列金额，供应商不得修改，首次报价必须按照清单报价规则进行报价，暂列价、暂估（暂定）材料价等金额不得更改。否则将被认定为无效响应。 </w:t>
      </w:r>
    </w:p>
    <w:p w14:paraId="43FB58B6">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（三）供应商应认真填写工程量清单中所列的本合同各工程子目的单价或总价。供应商没有填入单价或总价的工程子目，采购人将认为该子目的价款已包括在工程量清单其他子目的单价和总价中。</w:t>
      </w:r>
      <w:r>
        <w:rPr>
          <w:rFonts w:hint="eastAsia" w:ascii="宋体" w:hAnsi="宋体" w:eastAsia="宋体" w:cs="宋体"/>
          <w:kern w:val="0"/>
          <w:sz w:val="24"/>
          <w:szCs w:val="24"/>
          <w:lang w:val="en-US" w:eastAsia="zh-CN"/>
        </w:rPr>
        <w:t>谈判</w:t>
      </w:r>
      <w:r>
        <w:rPr>
          <w:rFonts w:hint="eastAsia" w:ascii="宋体" w:hAnsi="宋体" w:eastAsia="宋体" w:cs="宋体"/>
          <w:kern w:val="0"/>
          <w:sz w:val="24"/>
          <w:szCs w:val="24"/>
          <w:lang w:val="zh-CN" w:eastAsia="zh-CN"/>
        </w:rPr>
        <w:t>过程中二次报价时，供应商只需对总价进行最后报价，无需再逐项进行单项报价。签订合同时，成交供应商应按（最后报价/初始报价）比例对初始报价清单中的工程量清单单价进行同比例下浮，以此作为成交工程量清单单价﹝安全文明施工费</w:t>
      </w:r>
      <w:r>
        <w:rPr>
          <w:rFonts w:hint="eastAsia" w:ascii="宋体" w:hAnsi="宋体" w:eastAsia="宋体" w:cs="宋体"/>
          <w:kern w:val="0"/>
          <w:sz w:val="24"/>
          <w:szCs w:val="24"/>
          <w:lang w:val="en-US" w:eastAsia="zh-CN"/>
        </w:rPr>
        <w:t>除外、</w:t>
      </w:r>
      <w:r>
        <w:rPr>
          <w:rFonts w:hint="eastAsia" w:ascii="宋体" w:hAnsi="宋体" w:eastAsia="宋体" w:cs="宋体"/>
          <w:kern w:val="0"/>
          <w:sz w:val="24"/>
          <w:szCs w:val="24"/>
          <w:lang w:val="zh-CN" w:eastAsia="zh-CN"/>
        </w:rPr>
        <w:t>暂估价（</w:t>
      </w:r>
      <w:r>
        <w:rPr>
          <w:rFonts w:hint="eastAsia" w:ascii="宋体" w:hAnsi="宋体" w:eastAsia="宋体" w:cs="宋体"/>
          <w:kern w:val="0"/>
          <w:sz w:val="24"/>
          <w:szCs w:val="24"/>
          <w:lang w:val="en-US" w:eastAsia="zh-CN"/>
        </w:rPr>
        <w:t>若有</w:t>
      </w:r>
      <w:r>
        <w:rPr>
          <w:rFonts w:hint="eastAsia" w:ascii="宋体" w:hAnsi="宋体" w:eastAsia="宋体" w:cs="宋体"/>
          <w:kern w:val="0"/>
          <w:sz w:val="24"/>
          <w:szCs w:val="24"/>
          <w:lang w:val="zh-CN" w:eastAsia="zh-CN"/>
        </w:rPr>
        <w:t>）</w:t>
      </w:r>
      <w:r>
        <w:rPr>
          <w:rFonts w:hint="eastAsia" w:ascii="宋体" w:hAnsi="宋体" w:eastAsia="宋体" w:cs="宋体"/>
          <w:kern w:val="0"/>
          <w:sz w:val="24"/>
          <w:szCs w:val="24"/>
          <w:lang w:val="en-US" w:eastAsia="zh-CN"/>
        </w:rPr>
        <w:t>除外、</w:t>
      </w:r>
      <w:r>
        <w:rPr>
          <w:rFonts w:hint="eastAsia" w:ascii="宋体" w:hAnsi="宋体" w:eastAsia="宋体" w:cs="宋体"/>
          <w:kern w:val="0"/>
          <w:sz w:val="24"/>
          <w:szCs w:val="24"/>
          <w:lang w:val="zh-CN" w:eastAsia="zh-CN"/>
        </w:rPr>
        <w:t>暂列金额（</w:t>
      </w:r>
      <w:r>
        <w:rPr>
          <w:rFonts w:hint="eastAsia" w:ascii="宋体" w:hAnsi="宋体" w:eastAsia="宋体" w:cs="宋体"/>
          <w:kern w:val="0"/>
          <w:sz w:val="24"/>
          <w:szCs w:val="24"/>
          <w:lang w:val="en-US" w:eastAsia="zh-CN"/>
        </w:rPr>
        <w:t>若有</w:t>
      </w:r>
      <w:r>
        <w:rPr>
          <w:rFonts w:hint="eastAsia" w:ascii="宋体" w:hAnsi="宋体" w:eastAsia="宋体" w:cs="宋体"/>
          <w:kern w:val="0"/>
          <w:sz w:val="24"/>
          <w:szCs w:val="24"/>
          <w:lang w:val="zh-CN" w:eastAsia="zh-CN"/>
        </w:rPr>
        <w:t>）</w:t>
      </w:r>
      <w:r>
        <w:rPr>
          <w:rFonts w:hint="eastAsia" w:ascii="宋体" w:hAnsi="宋体" w:eastAsia="宋体" w:cs="宋体"/>
          <w:kern w:val="0"/>
          <w:sz w:val="24"/>
          <w:szCs w:val="24"/>
          <w:lang w:val="en-US" w:eastAsia="zh-CN"/>
        </w:rPr>
        <w:t>除外）﹞</w:t>
      </w:r>
      <w:r>
        <w:rPr>
          <w:rFonts w:hint="eastAsia" w:ascii="宋体" w:hAnsi="宋体" w:eastAsia="宋体" w:cs="宋体"/>
          <w:kern w:val="0"/>
          <w:sz w:val="24"/>
          <w:szCs w:val="24"/>
          <w:lang w:val="zh-CN" w:eastAsia="zh-CN"/>
        </w:rPr>
        <w:t>。</w:t>
      </w:r>
      <w:r>
        <w:rPr>
          <w:rFonts w:hint="eastAsia" w:ascii="宋体" w:hAnsi="宋体" w:cs="宋体"/>
          <w:kern w:val="0"/>
          <w:sz w:val="24"/>
          <w:szCs w:val="24"/>
        </w:rPr>
        <w:t xml:space="preserve">反之作为未进行实质性响应处理。 </w:t>
      </w:r>
    </w:p>
    <w:p w14:paraId="2F643DEC">
      <w:pPr>
        <w:numPr>
          <w:ilvl w:val="0"/>
          <w:numId w:val="2"/>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本工程设置总价最高限价，总价最高限价为252870.41元（大写：贰拾伍万贰仟捌佰柒拾元肆角壹分）（其中安全文明施工费为8439.14元，报价时安全文明施工费不得浮动），供应商的响应报价不得超过本项目设置的最高限价，否则其响应文件按无效处理。</w:t>
      </w:r>
    </w:p>
    <w:p w14:paraId="223EE924">
      <w:pPr>
        <w:numPr>
          <w:ilvl w:val="0"/>
          <w:numId w:val="2"/>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所有在响应文件中没有显示出来，但在本项目要求中所提及的设备、材料，必须全部包括在本项目范围内，没有明确说明但在整体安装时不能缺少的一切附属配件，亦应包括在本项目范围内。</w:t>
      </w:r>
    </w:p>
    <w:p w14:paraId="6840DF86">
      <w:pPr>
        <w:numPr>
          <w:ilvl w:val="0"/>
          <w:numId w:val="2"/>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响应报价是履行本项目全部义务所发生的费用和利润等一切费用的综合报价，供应商在报价时应充分考虑本项目所有风险因素，因自身原因造成漏报、少报皆由其自行承担责任，采购人不再补偿。</w:t>
      </w:r>
    </w:p>
    <w:p w14:paraId="483A1DC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（六）结算原则</w:t>
      </w:r>
    </w:p>
    <w:p w14:paraId="20DE655B">
      <w:pPr>
        <w:snapToGrid w:val="0"/>
        <w:spacing w:line="400" w:lineRule="exact"/>
        <w:ind w:firstLine="360" w:firstLineChars="150"/>
        <w:rPr>
          <w:rFonts w:ascii="宋体" w:hAnsi="宋体" w:cs="宋体"/>
          <w:kern w:val="0"/>
          <w:sz w:val="24"/>
          <w:szCs w:val="24"/>
        </w:rPr>
      </w:pPr>
      <w:r>
        <w:rPr>
          <w:rFonts w:hint="eastAsia" w:ascii="宋体" w:hAnsi="宋体" w:cs="宋体"/>
          <w:kern w:val="0"/>
          <w:sz w:val="24"/>
          <w:szCs w:val="24"/>
        </w:rPr>
        <w:t>1.原则上按合同总价结算，如因在合同执行过程中，设计变更等原因导致合同总价发生变更，合同双方应当协商确定变更后的合同总价，并按照约定进行结算。</w:t>
      </w:r>
    </w:p>
    <w:p w14:paraId="3957A73A">
      <w:pPr>
        <w:snapToGrid w:val="0"/>
        <w:spacing w:line="400" w:lineRule="exact"/>
        <w:ind w:firstLine="360" w:firstLineChars="150"/>
        <w:rPr>
          <w:rFonts w:ascii="宋体" w:hAnsi="宋体" w:cs="宋体"/>
          <w:kern w:val="0"/>
          <w:sz w:val="24"/>
          <w:szCs w:val="24"/>
          <w:lang w:val="zh-CN"/>
        </w:rPr>
      </w:pPr>
      <w:r>
        <w:rPr>
          <w:rFonts w:hint="eastAsia" w:ascii="宋体" w:hAnsi="宋体" w:cs="宋体"/>
          <w:kern w:val="0"/>
          <w:sz w:val="24"/>
          <w:szCs w:val="24"/>
        </w:rPr>
        <w:t>2.工程量清单综合单价的确定：在供应商首次响应文件中的已标价工程量清单综合单价的基础上，按照第一次总报价与第二次总报价的差额比例同比例下浮作为成交结算单价。</w:t>
      </w:r>
    </w:p>
    <w:p w14:paraId="1600503F">
      <w:pPr>
        <w:snapToGrid w:val="0"/>
        <w:spacing w:line="400" w:lineRule="exact"/>
        <w:ind w:firstLine="482" w:firstLineChars="200"/>
        <w:rPr>
          <w:rFonts w:ascii="宋体" w:hAnsi="宋体" w:cs="宋体"/>
          <w:b/>
          <w:kern w:val="0"/>
          <w:sz w:val="24"/>
          <w:szCs w:val="24"/>
          <w:lang w:val="zh-CN"/>
        </w:rPr>
      </w:pPr>
      <w:r>
        <w:rPr>
          <w:rFonts w:hint="eastAsia" w:ascii="宋体" w:hAnsi="宋体" w:cs="宋体"/>
          <w:b/>
          <w:kern w:val="0"/>
          <w:sz w:val="24"/>
          <w:szCs w:val="24"/>
        </w:rPr>
        <w:t xml:space="preserve">三、人员要求 </w:t>
      </w:r>
    </w:p>
    <w:p w14:paraId="2AC96ED4">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 xml:space="preserve">（一）项目技术负责人：应具有工程类中级及以上职称（投标时提供职称证、供应商为其缴纳的2025年12月至响应截止时间前任一月份个人养老保险证明复印件或扫描件，加盖供应商公章） </w:t>
      </w:r>
    </w:p>
    <w:p w14:paraId="3EF05C55">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 xml:space="preserve">（二）法定代表人或委托代理人： </w:t>
      </w:r>
    </w:p>
    <w:p w14:paraId="283E72CE">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 xml:space="preserve">法定代表人或委托代理人代表供应商签署、澄清、说明、补正、递交、撤回、修改本项目响应文件、签订合同和处理有关事宜，其法律后果由供应商承担。投标时提供法定代表人身份证明，法定代表人委托代理人投标的，委托代理人须是供应商任职人员，还须提供授权委托书复印件或扫描件加盖供应商公章。 </w:t>
      </w:r>
    </w:p>
    <w:p w14:paraId="6B0A3FDD">
      <w:pPr>
        <w:pStyle w:val="3"/>
        <w:adjustRightInd w:val="0"/>
        <w:snapToGrid w:val="0"/>
        <w:spacing w:before="0" w:after="0" w:line="400" w:lineRule="exact"/>
        <w:ind w:firstLine="482" w:firstLineChars="200"/>
        <w:rPr>
          <w:rFonts w:ascii="宋体" w:hAnsi="宋体" w:cs="宋体"/>
          <w:lang w:val="zh-CN"/>
        </w:rPr>
      </w:pPr>
      <w:bookmarkStart w:id="116" w:name="_Toc24182"/>
      <w:r>
        <w:rPr>
          <w:rFonts w:hint="eastAsia" w:ascii="宋体" w:hAnsi="宋体" w:cs="宋体"/>
          <w:lang w:val="zh-CN"/>
        </w:rPr>
        <w:t>四、质量保障及售后服务</w:t>
      </w:r>
      <w:bookmarkEnd w:id="111"/>
      <w:bookmarkEnd w:id="112"/>
      <w:bookmarkEnd w:id="113"/>
      <w:bookmarkEnd w:id="114"/>
      <w:bookmarkEnd w:id="115"/>
      <w:bookmarkEnd w:id="116"/>
    </w:p>
    <w:p w14:paraId="23D0E8BE">
      <w:pPr>
        <w:snapToGrid w:val="0"/>
        <w:spacing w:line="400" w:lineRule="exact"/>
        <w:ind w:firstLine="480" w:firstLineChars="200"/>
        <w:rPr>
          <w:rFonts w:ascii="宋体" w:hAnsi="宋体" w:cs="宋体"/>
          <w:kern w:val="0"/>
          <w:sz w:val="24"/>
          <w:szCs w:val="24"/>
          <w:lang w:val="zh-CN"/>
        </w:rPr>
      </w:pPr>
      <w:r>
        <w:rPr>
          <w:rFonts w:hint="eastAsia" w:ascii="宋体" w:hAnsi="宋体" w:cs="宋体"/>
          <w:sz w:val="24"/>
          <w:szCs w:val="24"/>
        </w:rPr>
        <w:t>（一）</w:t>
      </w:r>
      <w:r>
        <w:rPr>
          <w:rFonts w:hint="eastAsia" w:ascii="宋体" w:hAnsi="宋体" w:cs="宋体"/>
          <w:kern w:val="0"/>
          <w:sz w:val="24"/>
          <w:szCs w:val="24"/>
          <w:lang w:val="zh-CN"/>
        </w:rPr>
        <w:t xml:space="preserve">设备和材料质量总体要求：供应商所提供相关设备和材料必须货真价实，符合环保节能要求，不得提供假冒伪劣产品；所提供设备和材料的各项手续、文件必须真实完整有效；其他材料各项技术参数、质量指标必须符合国家技术质量监督机构及有关管理部门和行业的规定和标准，主要技术数据和性能要详细描述，满足竞争性谈判文件全部要求。 </w:t>
      </w:r>
    </w:p>
    <w:p w14:paraId="52F2578F">
      <w:pPr>
        <w:snapToGrid w:val="0"/>
        <w:spacing w:line="400" w:lineRule="exact"/>
        <w:ind w:firstLine="480" w:firstLineChars="200"/>
        <w:rPr>
          <w:rFonts w:ascii="宋体" w:hAnsi="宋体" w:cs="宋体"/>
          <w:kern w:val="0"/>
          <w:sz w:val="24"/>
          <w:szCs w:val="24"/>
          <w:lang w:val="zh-CN"/>
        </w:rPr>
      </w:pPr>
      <w:r>
        <w:rPr>
          <w:rFonts w:hint="eastAsia" w:ascii="宋体" w:hAnsi="宋体" w:cs="宋体"/>
          <w:sz w:val="24"/>
          <w:szCs w:val="24"/>
        </w:rPr>
        <w:t>（二）工程质保</w:t>
      </w:r>
      <w:r>
        <w:rPr>
          <w:rFonts w:hint="eastAsia" w:ascii="宋体" w:hAnsi="宋体" w:cs="宋体"/>
          <w:kern w:val="0"/>
          <w:sz w:val="24"/>
          <w:szCs w:val="24"/>
          <w:lang w:val="zh-CN"/>
        </w:rPr>
        <w:t>期</w:t>
      </w:r>
    </w:p>
    <w:p w14:paraId="7538E02D">
      <w:pPr>
        <w:snapToGrid w:val="0"/>
        <w:spacing w:line="400" w:lineRule="exact"/>
        <w:ind w:firstLine="480" w:firstLineChars="200"/>
        <w:rPr>
          <w:rFonts w:ascii="宋体" w:hAnsi="宋体"/>
          <w:sz w:val="24"/>
          <w:szCs w:val="24"/>
        </w:rPr>
      </w:pPr>
      <w:r>
        <w:rPr>
          <w:rFonts w:hint="eastAsia" w:ascii="宋体" w:hAnsi="宋体" w:cs="宋体"/>
          <w:kern w:val="0"/>
          <w:sz w:val="24"/>
          <w:szCs w:val="24"/>
        </w:rPr>
        <w:t>1</w:t>
      </w:r>
      <w:r>
        <w:rPr>
          <w:rFonts w:hint="eastAsia" w:ascii="宋体" w:hAnsi="宋体" w:cs="宋体"/>
          <w:kern w:val="0"/>
          <w:sz w:val="24"/>
          <w:szCs w:val="24"/>
          <w:lang w:val="zh-CN"/>
        </w:rPr>
        <w:t>.工程质量保修期限：满足重庆市建设工程质量监督总站监制《重庆市建设工程质量保修书》相关要求，</w:t>
      </w:r>
      <w:r>
        <w:rPr>
          <w:rFonts w:hint="eastAsia" w:ascii="宋体" w:hAnsi="宋体"/>
          <w:sz w:val="24"/>
          <w:szCs w:val="24"/>
        </w:rPr>
        <w:t>项目质保期为</w:t>
      </w:r>
      <w:r>
        <w:rPr>
          <w:rFonts w:hint="eastAsia" w:ascii="宋体" w:hAnsi="宋体" w:cs="宋体"/>
          <w:kern w:val="0"/>
          <w:sz w:val="24"/>
          <w:szCs w:val="24"/>
          <w:lang w:val="zh-CN"/>
        </w:rPr>
        <w:t>竣工验收合格之日起2年（其中隐蔽工程及防水质保期为5年）。</w:t>
      </w:r>
    </w:p>
    <w:p w14:paraId="2C00B1DB">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.保修期内，所有设备和施工质量缺陷的维护及维修（非人为损坏）均为免费。</w:t>
      </w:r>
    </w:p>
    <w:p w14:paraId="598C57F5">
      <w:pPr>
        <w:snapToGrid w:val="0"/>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.保修期内，所有设备维护和施工质量缺陷维修均为现场服务，由此产生的维修费用采购人不再另行支付。</w:t>
      </w:r>
    </w:p>
    <w:p w14:paraId="56039D3F">
      <w:pPr>
        <w:spacing w:line="400" w:lineRule="exact"/>
        <w:ind w:firstLine="480" w:firstLineChars="200"/>
        <w:rPr>
          <w:rFonts w:ascii="宋体" w:hAnsi="宋体"/>
          <w:sz w:val="24"/>
          <w:szCs w:val="24"/>
        </w:rPr>
      </w:pPr>
      <w:r>
        <w:rPr>
          <w:rFonts w:hint="eastAsia" w:ascii="宋体" w:hAnsi="宋体"/>
          <w:sz w:val="24"/>
          <w:szCs w:val="24"/>
        </w:rPr>
        <w:t>（三）质保响应要求：</w:t>
      </w:r>
    </w:p>
    <w:p w14:paraId="26E5823F">
      <w:pPr>
        <w:spacing w:line="400" w:lineRule="exact"/>
        <w:ind w:firstLine="480" w:firstLineChars="200"/>
        <w:rPr>
          <w:rFonts w:ascii="宋体" w:hAnsi="宋体" w:cs="宋体"/>
          <w:kern w:val="0"/>
          <w:sz w:val="24"/>
          <w:szCs w:val="24"/>
          <w:lang w:val="zh-CN"/>
        </w:rPr>
      </w:pPr>
      <w:r>
        <w:rPr>
          <w:rFonts w:hint="eastAsia" w:ascii="宋体" w:hAnsi="宋体"/>
          <w:sz w:val="24"/>
          <w:szCs w:val="24"/>
        </w:rPr>
        <w:t>质保期内，采购人遇到施工质量及装饰材料问题导致影响日常办公，成交供应商须提供7天×24小时电话技术支持。电话无法解决的，成交供应商在3天内提出解决方案，并在7天内免费处理完毕，如产生费用不在质保范围内的经双方协商按成本价进行结算。</w:t>
      </w:r>
    </w:p>
    <w:p w14:paraId="7CEF31F2">
      <w:pPr>
        <w:pStyle w:val="3"/>
        <w:adjustRightInd w:val="0"/>
        <w:snapToGrid w:val="0"/>
        <w:spacing w:before="0" w:after="0" w:line="400" w:lineRule="exact"/>
        <w:ind w:firstLine="482" w:firstLineChars="200"/>
        <w:rPr>
          <w:rFonts w:ascii="宋体" w:hAnsi="宋体" w:cs="宋体"/>
        </w:rPr>
      </w:pPr>
      <w:bookmarkStart w:id="117" w:name="_Toc9192"/>
      <w:bookmarkStart w:id="118" w:name="_Toc23922"/>
      <w:bookmarkStart w:id="119" w:name="_Toc7562"/>
      <w:bookmarkStart w:id="120" w:name="_Toc28022"/>
      <w:bookmarkStart w:id="121" w:name="_Toc26982"/>
      <w:bookmarkStart w:id="122" w:name="_Toc3610"/>
      <w:bookmarkStart w:id="123" w:name="_Toc65660345"/>
      <w:bookmarkStart w:id="124" w:name="_Toc165280357"/>
      <w:r>
        <w:rPr>
          <w:rFonts w:hint="eastAsia" w:ascii="宋体" w:hAnsi="宋体" w:cs="宋体"/>
        </w:rPr>
        <w:t>五、付款方式</w:t>
      </w:r>
      <w:bookmarkEnd w:id="117"/>
      <w:bookmarkEnd w:id="118"/>
      <w:bookmarkEnd w:id="119"/>
      <w:bookmarkEnd w:id="120"/>
      <w:bookmarkEnd w:id="121"/>
      <w:bookmarkEnd w:id="122"/>
      <w:bookmarkEnd w:id="123"/>
      <w:bookmarkEnd w:id="124"/>
    </w:p>
    <w:p w14:paraId="26C086F0">
      <w:pPr>
        <w:snapToGrid w:val="0"/>
        <w:spacing w:line="400" w:lineRule="exact"/>
        <w:ind w:firstLine="480" w:firstLineChars="200"/>
        <w:rPr>
          <w:rFonts w:ascii="宋体" w:hAnsi="宋体" w:cs="宋体"/>
          <w:sz w:val="24"/>
          <w:szCs w:val="24"/>
        </w:rPr>
      </w:pPr>
      <w:bookmarkStart w:id="125" w:name="_Toc165280358"/>
      <w:r>
        <w:rPr>
          <w:rFonts w:hint="eastAsia" w:ascii="宋体" w:hAnsi="宋体" w:cs="宋体"/>
          <w:sz w:val="24"/>
          <w:szCs w:val="24"/>
        </w:rPr>
        <w:t>（一）合同签订前成交供应商向采购人缴纳合同金额的5%的履约保证金，服务验收合格后，按照合同约定退还方式在5个工作日内按程序办理退还手续。</w:t>
      </w:r>
    </w:p>
    <w:p w14:paraId="6C443078">
      <w:pPr>
        <w:snapToGrid w:val="0"/>
        <w:spacing w:line="400" w:lineRule="exact"/>
        <w:ind w:firstLine="480" w:firstLineChars="200"/>
        <w:rPr>
          <w:rFonts w:ascii="宋体" w:hAnsi="宋体" w:cs="宋体"/>
          <w:sz w:val="24"/>
          <w:szCs w:val="24"/>
        </w:rPr>
      </w:pPr>
      <w:r>
        <w:rPr>
          <w:rFonts w:hint="eastAsia" w:ascii="宋体" w:hAnsi="宋体" w:cs="宋体"/>
          <w:sz w:val="24"/>
          <w:szCs w:val="24"/>
        </w:rPr>
        <w:t>（二）成交供应商按采购合同交货，经验收合格后采购人出具项目验收报告；</w:t>
      </w:r>
    </w:p>
    <w:p w14:paraId="532D7E1D">
      <w:pPr>
        <w:snapToGrid w:val="0"/>
        <w:spacing w:line="400" w:lineRule="exact"/>
        <w:ind w:firstLine="480" w:firstLineChars="200"/>
        <w:rPr>
          <w:rFonts w:ascii="宋体" w:hAnsi="宋体" w:cs="宋体"/>
          <w:sz w:val="24"/>
          <w:szCs w:val="24"/>
        </w:rPr>
      </w:pPr>
      <w:r>
        <w:rPr>
          <w:rFonts w:hint="eastAsia" w:ascii="宋体" w:hAnsi="宋体" w:cs="宋体"/>
          <w:sz w:val="24"/>
          <w:szCs w:val="24"/>
        </w:rPr>
        <w:t>（三）成交供应商向采购人提供税务部门开具的发票，提交采购合同、验收报告、资金支付申请表等材料，向采购人申请付款；</w:t>
      </w:r>
    </w:p>
    <w:p w14:paraId="0A7D83FB">
      <w:pPr>
        <w:snapToGrid w:val="0"/>
        <w:spacing w:line="400" w:lineRule="exact"/>
        <w:ind w:firstLine="480" w:firstLineChars="200"/>
        <w:rPr>
          <w:rFonts w:ascii="宋体" w:hAnsi="宋体" w:cs="宋体"/>
          <w:sz w:val="24"/>
          <w:szCs w:val="24"/>
        </w:rPr>
      </w:pPr>
      <w:r>
        <w:rPr>
          <w:rFonts w:hint="eastAsia" w:ascii="宋体" w:hAnsi="宋体" w:cs="宋体"/>
          <w:sz w:val="24"/>
          <w:szCs w:val="24"/>
        </w:rPr>
        <w:t>（四）对成交供应商提交的付款资料审核通过后，以转账方式向成交供应商支付合同款项；</w:t>
      </w:r>
    </w:p>
    <w:p w14:paraId="2AB2DD13">
      <w:pPr>
        <w:spacing w:line="400" w:lineRule="exact"/>
        <w:ind w:firstLine="480" w:firstLineChars="200"/>
        <w:rPr>
          <w:rFonts w:ascii="宋体" w:hAnsi="宋体" w:cs="宋体"/>
          <w:sz w:val="24"/>
          <w:szCs w:val="24"/>
        </w:rPr>
      </w:pPr>
      <w:r>
        <w:rPr>
          <w:rFonts w:hint="eastAsia" w:ascii="宋体" w:hAnsi="宋体" w:cs="宋体"/>
          <w:sz w:val="24"/>
          <w:szCs w:val="24"/>
        </w:rPr>
        <w:t>（五）本项目支付办法及比例：项目服务完成且验收合格后7个工作日内支付合同总金额的100%。</w:t>
      </w:r>
      <w:bookmarkStart w:id="126" w:name="_Toc3166"/>
    </w:p>
    <w:bookmarkEnd w:id="126"/>
    <w:p w14:paraId="44E01E5E">
      <w:pPr>
        <w:spacing w:line="400" w:lineRule="exact"/>
        <w:ind w:firstLine="480" w:firstLineChars="200"/>
        <w:rPr>
          <w:rFonts w:ascii="宋体" w:hAnsi="宋体"/>
          <w:sz w:val="24"/>
          <w:szCs w:val="24"/>
        </w:rPr>
      </w:pPr>
      <w:r>
        <w:rPr>
          <w:rFonts w:hint="eastAsia" w:ascii="宋体" w:hAnsi="宋体" w:cs="宋体"/>
          <w:sz w:val="24"/>
          <w:szCs w:val="24"/>
        </w:rPr>
        <w:t>（六）</w:t>
      </w:r>
      <w:r>
        <w:rPr>
          <w:rFonts w:hint="eastAsia" w:ascii="宋体" w:hAnsi="宋体"/>
          <w:sz w:val="24"/>
          <w:szCs w:val="24"/>
        </w:rPr>
        <w:t>履约保证金</w:t>
      </w:r>
    </w:p>
    <w:p w14:paraId="372BFA85">
      <w:pPr>
        <w:spacing w:line="400" w:lineRule="exact"/>
        <w:ind w:firstLine="480" w:firstLineChars="200"/>
        <w:rPr>
          <w:rFonts w:ascii="宋体" w:hAnsi="宋体"/>
          <w:sz w:val="24"/>
          <w:szCs w:val="24"/>
        </w:rPr>
      </w:pPr>
      <w:r>
        <w:rPr>
          <w:rFonts w:hint="eastAsia" w:ascii="宋体" w:hAnsi="宋体"/>
          <w:sz w:val="24"/>
          <w:szCs w:val="24"/>
        </w:rPr>
        <w:t>成交通知书发出后5日内成交供应商向采购人缴纳履约保证金或通过重庆市政府采购网“信用融资电子保函”模块完成相应操作，供应商凭中标合同向担保机构在线申请电子保函，申请履约保函可免收履约保证金。（户名：重庆市黔江区财政局，开户行：重庆银行黔江支行，账号：530101040011996-507061，（财务科电话：023-85086300）</w:t>
      </w:r>
    </w:p>
    <w:p w14:paraId="05FFADB0">
      <w:pPr>
        <w:snapToGrid w:val="0"/>
        <w:spacing w:line="400" w:lineRule="exact"/>
        <w:ind w:firstLine="480" w:firstLineChars="200"/>
        <w:rPr>
          <w:rFonts w:ascii="宋体" w:hAnsi="宋体" w:cs="宋体"/>
          <w:sz w:val="24"/>
          <w:szCs w:val="24"/>
        </w:rPr>
      </w:pPr>
      <w:r>
        <w:rPr>
          <w:rFonts w:hint="eastAsia" w:ascii="宋体" w:hAnsi="宋体"/>
          <w:sz w:val="24"/>
          <w:szCs w:val="24"/>
        </w:rPr>
        <w:t>需备注：黔江职教育中心</w:t>
      </w:r>
      <w:r>
        <w:rPr>
          <w:rFonts w:hint="eastAsia" w:ascii="黑体" w:hAnsi="黑体" w:eastAsia="黑体"/>
          <w:sz w:val="24"/>
          <w:szCs w:val="24"/>
        </w:rPr>
        <w:t>X X X</w:t>
      </w:r>
      <w:r>
        <w:rPr>
          <w:rFonts w:hint="eastAsia" w:ascii="宋体" w:hAnsi="宋体"/>
          <w:sz w:val="24"/>
          <w:szCs w:val="24"/>
        </w:rPr>
        <w:t>项目履约保证金</w:t>
      </w:r>
    </w:p>
    <w:bookmarkEnd w:id="125"/>
    <w:p w14:paraId="18DC8A55">
      <w:pPr>
        <w:pStyle w:val="3"/>
        <w:adjustRightInd w:val="0"/>
        <w:snapToGrid w:val="0"/>
        <w:spacing w:before="0" w:after="0" w:line="400" w:lineRule="exact"/>
        <w:ind w:firstLine="482" w:firstLineChars="200"/>
        <w:rPr>
          <w:rFonts w:ascii="宋体" w:hAnsi="宋体" w:cs="宋体"/>
        </w:rPr>
      </w:pPr>
      <w:bookmarkStart w:id="127" w:name="_Toc10239"/>
      <w:bookmarkStart w:id="128" w:name="_Toc65660346"/>
      <w:bookmarkStart w:id="129" w:name="_Toc2286"/>
      <w:bookmarkStart w:id="130" w:name="_Toc13261"/>
      <w:bookmarkStart w:id="131" w:name="_Toc3860"/>
      <w:bookmarkStart w:id="132" w:name="_Toc24751"/>
      <w:bookmarkStart w:id="133" w:name="_Toc7228"/>
      <w:bookmarkStart w:id="134" w:name="_Toc165280359"/>
      <w:r>
        <w:rPr>
          <w:rFonts w:hint="eastAsia" w:ascii="宋体" w:hAnsi="宋体" w:cs="宋体"/>
        </w:rPr>
        <w:t>六、知识产权</w:t>
      </w:r>
      <w:bookmarkEnd w:id="127"/>
      <w:bookmarkEnd w:id="128"/>
      <w:bookmarkEnd w:id="129"/>
      <w:bookmarkEnd w:id="130"/>
      <w:bookmarkEnd w:id="131"/>
      <w:bookmarkEnd w:id="132"/>
      <w:bookmarkEnd w:id="133"/>
      <w:bookmarkEnd w:id="134"/>
    </w:p>
    <w:p w14:paraId="2DC91C82">
      <w:pPr>
        <w:snapToGrid w:val="0"/>
        <w:spacing w:line="400" w:lineRule="exact"/>
        <w:ind w:firstLine="540"/>
        <w:rPr>
          <w:rFonts w:ascii="宋体" w:hAnsi="宋体" w:cs="宋体"/>
          <w:sz w:val="24"/>
          <w:szCs w:val="24"/>
        </w:rPr>
      </w:pPr>
      <w:r>
        <w:rPr>
          <w:rFonts w:hint="eastAsia" w:ascii="宋体" w:hAnsi="宋体"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1D5D598">
      <w:pPr>
        <w:pStyle w:val="2"/>
        <w:rPr>
          <w:rFonts w:cs="宋体"/>
          <w:bCs/>
        </w:rPr>
      </w:pPr>
      <w:r>
        <w:rPr>
          <w:rFonts w:hint="eastAsia" w:cs="宋体"/>
          <w:sz w:val="24"/>
          <w:szCs w:val="24"/>
        </w:rPr>
        <w:br w:type="page"/>
      </w:r>
      <w:bookmarkStart w:id="135" w:name="_Toc21853"/>
      <w:bookmarkStart w:id="136" w:name="_Toc16123"/>
      <w:bookmarkStart w:id="137" w:name="_Toc65660349"/>
      <w:bookmarkStart w:id="138" w:name="_Toc11106"/>
      <w:bookmarkStart w:id="139" w:name="_Toc24835"/>
      <w:bookmarkStart w:id="140" w:name="_Toc21064"/>
      <w:bookmarkStart w:id="141" w:name="_Toc24195"/>
      <w:r>
        <w:rPr>
          <w:rFonts w:hint="eastAsia" w:cs="宋体"/>
          <w:bCs/>
        </w:rPr>
        <w:t>第四篇  采购程序、评定成交的标准、无效谈判及采购终止</w:t>
      </w:r>
      <w:bookmarkEnd w:id="135"/>
      <w:bookmarkEnd w:id="136"/>
      <w:bookmarkEnd w:id="137"/>
      <w:bookmarkEnd w:id="138"/>
      <w:bookmarkEnd w:id="139"/>
      <w:bookmarkEnd w:id="140"/>
      <w:bookmarkEnd w:id="141"/>
    </w:p>
    <w:p w14:paraId="12E7EF43">
      <w:pPr>
        <w:pStyle w:val="3"/>
        <w:adjustRightInd w:val="0"/>
        <w:snapToGrid w:val="0"/>
        <w:spacing w:before="0" w:after="0" w:line="400" w:lineRule="exact"/>
        <w:ind w:firstLine="482" w:firstLineChars="200"/>
        <w:rPr>
          <w:rFonts w:ascii="宋体" w:hAnsi="宋体" w:cs="宋体"/>
        </w:rPr>
      </w:pPr>
      <w:bookmarkStart w:id="142" w:name="_Toc20957"/>
      <w:bookmarkStart w:id="143" w:name="_Toc19446"/>
      <w:bookmarkStart w:id="144" w:name="_Toc9361"/>
      <w:bookmarkStart w:id="145" w:name="_Toc5167"/>
      <w:bookmarkStart w:id="146" w:name="_Toc4742"/>
      <w:bookmarkStart w:id="147" w:name="_Toc64732012"/>
      <w:bookmarkStart w:id="148" w:name="_Toc65660350"/>
      <w:bookmarkStart w:id="149" w:name="_Toc23929"/>
      <w:r>
        <w:rPr>
          <w:rFonts w:hint="eastAsia" w:ascii="宋体" w:hAnsi="宋体" w:cs="宋体"/>
        </w:rPr>
        <w:t>一、采购程序</w:t>
      </w:r>
      <w:bookmarkEnd w:id="142"/>
      <w:bookmarkEnd w:id="143"/>
      <w:bookmarkEnd w:id="144"/>
      <w:bookmarkEnd w:id="145"/>
      <w:bookmarkEnd w:id="146"/>
      <w:bookmarkEnd w:id="147"/>
      <w:bookmarkEnd w:id="148"/>
      <w:bookmarkEnd w:id="149"/>
    </w:p>
    <w:p w14:paraId="7AF747B6">
      <w:pPr>
        <w:pStyle w:val="33"/>
        <w:spacing w:line="400" w:lineRule="exact"/>
        <w:ind w:firstLine="480" w:firstLineChars="200"/>
        <w:rPr>
          <w:rFonts w:ascii="宋体" w:hAnsi="宋体" w:cs="宋体"/>
          <w:sz w:val="24"/>
          <w:szCs w:val="24"/>
        </w:rPr>
      </w:pPr>
      <w:r>
        <w:rPr>
          <w:rFonts w:hint="eastAsia" w:ascii="宋体" w:hAnsi="宋体" w:cs="宋体"/>
          <w:sz w:val="24"/>
          <w:szCs w:val="24"/>
        </w:rPr>
        <w:t>（一）谈判按竞争性谈判文件规定的时间和地点进行。供应商须有法定代表人（或其授权代表）或自然人参加并签到。</w:t>
      </w:r>
    </w:p>
    <w:p w14:paraId="7311A0E5">
      <w:pPr>
        <w:pStyle w:val="33"/>
        <w:spacing w:line="400" w:lineRule="exact"/>
        <w:ind w:firstLine="480" w:firstLineChars="200"/>
        <w:rPr>
          <w:rFonts w:ascii="宋体" w:hAnsi="宋体" w:cs="宋体"/>
          <w:sz w:val="24"/>
          <w:szCs w:val="24"/>
        </w:rPr>
      </w:pPr>
      <w:r>
        <w:rPr>
          <w:rFonts w:hint="eastAsia" w:ascii="宋体" w:hAnsi="宋体" w:cs="宋体"/>
          <w:sz w:val="24"/>
          <w:szCs w:val="24"/>
        </w:rPr>
        <w:t xml:space="preserve">（二）竞争性谈判以抽签的形式确定谈判顺序，由本项目谈判小组分别与各供应商进行谈判。在谈判前，对各供应商的资格条件、实质性响应等进行审查。 </w:t>
      </w:r>
    </w:p>
    <w:p w14:paraId="2A4C531A">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1.资格性审查。依据法律法规和竞争性谈判文件的规定，对响应文件中的资格证明材料、保证金等进行审查。资格性审查内容如下：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384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C107A1">
            <w:pPr>
              <w:jc w:val="center"/>
              <w:rPr>
                <w:rFonts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36318F4">
            <w:pPr>
              <w:jc w:val="center"/>
              <w:rPr>
                <w:rFonts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3BE58985">
            <w:pPr>
              <w:jc w:val="center"/>
              <w:rPr>
                <w:rFonts w:ascii="宋体" w:hAnsi="宋体" w:cs="宋体"/>
                <w:b/>
                <w:kern w:val="0"/>
                <w:sz w:val="21"/>
                <w:szCs w:val="21"/>
              </w:rPr>
            </w:pPr>
            <w:r>
              <w:rPr>
                <w:rFonts w:hint="eastAsia" w:ascii="宋体" w:hAnsi="宋体" w:cs="宋体"/>
                <w:b/>
                <w:kern w:val="0"/>
                <w:sz w:val="21"/>
                <w:szCs w:val="21"/>
              </w:rPr>
              <w:t>检查内容</w:t>
            </w:r>
          </w:p>
        </w:tc>
      </w:tr>
      <w:tr w14:paraId="5AD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E49D745">
            <w:pPr>
              <w:jc w:val="center"/>
              <w:rPr>
                <w:rFonts w:ascii="宋体" w:hAnsi="宋体" w:cs="宋体"/>
                <w:sz w:val="21"/>
                <w:szCs w:val="21"/>
              </w:rPr>
            </w:pPr>
            <w:r>
              <w:rPr>
                <w:rFonts w:hint="eastAsia" w:ascii="宋体" w:hAnsi="宋体" w:cs="宋体"/>
                <w:sz w:val="21"/>
                <w:szCs w:val="21"/>
              </w:rPr>
              <w:t>（一）</w:t>
            </w:r>
          </w:p>
        </w:tc>
        <w:tc>
          <w:tcPr>
            <w:tcW w:w="709" w:type="dxa"/>
            <w:vMerge w:val="restart"/>
            <w:vAlign w:val="center"/>
          </w:tcPr>
          <w:p w14:paraId="14B50682">
            <w:pPr>
              <w:rPr>
                <w:rFonts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2835" w:type="dxa"/>
            <w:vAlign w:val="center"/>
          </w:tcPr>
          <w:p w14:paraId="2A29C3B7">
            <w:pPr>
              <w:rPr>
                <w:rFonts w:ascii="宋体" w:hAnsi="宋体" w:cs="宋体"/>
                <w:sz w:val="21"/>
                <w:szCs w:val="21"/>
              </w:rPr>
            </w:pPr>
            <w:r>
              <w:rPr>
                <w:rFonts w:hint="eastAsia" w:ascii="宋体" w:hAnsi="宋体" w:cs="宋体"/>
                <w:sz w:val="21"/>
                <w:szCs w:val="21"/>
              </w:rPr>
              <w:t>1.具有独立承担民事责任的能力</w:t>
            </w:r>
          </w:p>
        </w:tc>
        <w:tc>
          <w:tcPr>
            <w:tcW w:w="5267" w:type="dxa"/>
            <w:vAlign w:val="center"/>
          </w:tcPr>
          <w:p w14:paraId="2B1DAC87">
            <w:pPr>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4DD4A234">
            <w:pPr>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29FD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C1F53FC">
            <w:pPr>
              <w:jc w:val="center"/>
              <w:rPr>
                <w:rFonts w:ascii="宋体" w:hAnsi="宋体" w:cs="宋体"/>
                <w:sz w:val="21"/>
                <w:szCs w:val="21"/>
              </w:rPr>
            </w:pPr>
          </w:p>
        </w:tc>
        <w:tc>
          <w:tcPr>
            <w:tcW w:w="709" w:type="dxa"/>
            <w:vMerge w:val="continue"/>
            <w:vAlign w:val="center"/>
          </w:tcPr>
          <w:p w14:paraId="1D9A13FC">
            <w:pPr>
              <w:rPr>
                <w:rFonts w:ascii="宋体" w:hAnsi="宋体" w:cs="宋体"/>
                <w:sz w:val="21"/>
                <w:szCs w:val="21"/>
                <w:lang w:val="zh-CN"/>
              </w:rPr>
            </w:pPr>
          </w:p>
        </w:tc>
        <w:tc>
          <w:tcPr>
            <w:tcW w:w="2835" w:type="dxa"/>
            <w:vAlign w:val="center"/>
          </w:tcPr>
          <w:p w14:paraId="5E5F65C1">
            <w:pPr>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5267" w:type="dxa"/>
            <w:vMerge w:val="restart"/>
            <w:vAlign w:val="center"/>
          </w:tcPr>
          <w:p w14:paraId="01DDEE3F">
            <w:pPr>
              <w:rPr>
                <w:rFonts w:ascii="宋体" w:hAnsi="宋体" w:cs="宋体"/>
                <w:b/>
                <w:sz w:val="21"/>
                <w:szCs w:val="21"/>
              </w:rPr>
            </w:pPr>
            <w:r>
              <w:rPr>
                <w:rFonts w:hint="eastAsia" w:ascii="宋体" w:hAnsi="宋体" w:cs="宋体"/>
                <w:b/>
                <w:sz w:val="21"/>
                <w:szCs w:val="21"/>
              </w:rPr>
              <w:t>供应商提供“基本资格条件承诺函”（格式详见第七篇）</w:t>
            </w:r>
          </w:p>
        </w:tc>
      </w:tr>
      <w:tr w14:paraId="3819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38B057">
            <w:pPr>
              <w:jc w:val="center"/>
              <w:rPr>
                <w:rFonts w:ascii="宋体" w:hAnsi="宋体" w:cs="宋体"/>
                <w:sz w:val="21"/>
                <w:szCs w:val="21"/>
              </w:rPr>
            </w:pPr>
          </w:p>
        </w:tc>
        <w:tc>
          <w:tcPr>
            <w:tcW w:w="709" w:type="dxa"/>
            <w:vMerge w:val="continue"/>
            <w:vAlign w:val="center"/>
          </w:tcPr>
          <w:p w14:paraId="420C7AEA">
            <w:pPr>
              <w:rPr>
                <w:rFonts w:ascii="宋体" w:hAnsi="宋体" w:cs="宋体"/>
                <w:sz w:val="21"/>
                <w:szCs w:val="21"/>
                <w:lang w:val="zh-CN"/>
              </w:rPr>
            </w:pPr>
          </w:p>
        </w:tc>
        <w:tc>
          <w:tcPr>
            <w:tcW w:w="2835" w:type="dxa"/>
            <w:vAlign w:val="center"/>
          </w:tcPr>
          <w:p w14:paraId="37A8B50E">
            <w:pPr>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5267" w:type="dxa"/>
            <w:vMerge w:val="continue"/>
            <w:vAlign w:val="center"/>
          </w:tcPr>
          <w:p w14:paraId="1778787E">
            <w:pPr>
              <w:rPr>
                <w:rFonts w:ascii="宋体" w:hAnsi="宋体" w:cs="宋体"/>
                <w:sz w:val="21"/>
                <w:szCs w:val="21"/>
              </w:rPr>
            </w:pPr>
          </w:p>
        </w:tc>
      </w:tr>
      <w:tr w14:paraId="7285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B4D9253">
            <w:pPr>
              <w:jc w:val="center"/>
              <w:rPr>
                <w:rFonts w:ascii="宋体" w:hAnsi="宋体" w:cs="宋体"/>
                <w:sz w:val="21"/>
                <w:szCs w:val="21"/>
              </w:rPr>
            </w:pPr>
          </w:p>
        </w:tc>
        <w:tc>
          <w:tcPr>
            <w:tcW w:w="709" w:type="dxa"/>
            <w:vMerge w:val="continue"/>
            <w:vAlign w:val="center"/>
          </w:tcPr>
          <w:p w14:paraId="46A0FE84">
            <w:pPr>
              <w:rPr>
                <w:rFonts w:ascii="宋体" w:hAnsi="宋体" w:cs="宋体"/>
                <w:sz w:val="21"/>
                <w:szCs w:val="21"/>
                <w:lang w:val="zh-CN"/>
              </w:rPr>
            </w:pPr>
          </w:p>
        </w:tc>
        <w:tc>
          <w:tcPr>
            <w:tcW w:w="2835" w:type="dxa"/>
            <w:vAlign w:val="center"/>
          </w:tcPr>
          <w:p w14:paraId="49E36265">
            <w:pPr>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5267" w:type="dxa"/>
            <w:vMerge w:val="continue"/>
            <w:vAlign w:val="center"/>
          </w:tcPr>
          <w:p w14:paraId="0B27C64F">
            <w:pPr>
              <w:rPr>
                <w:rFonts w:ascii="宋体" w:hAnsi="宋体" w:cs="宋体"/>
                <w:sz w:val="21"/>
                <w:szCs w:val="21"/>
              </w:rPr>
            </w:pPr>
          </w:p>
        </w:tc>
      </w:tr>
      <w:tr w14:paraId="2E1A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5DEFBF6">
            <w:pPr>
              <w:jc w:val="center"/>
              <w:rPr>
                <w:rFonts w:ascii="宋体" w:hAnsi="宋体" w:cs="宋体"/>
                <w:sz w:val="21"/>
                <w:szCs w:val="21"/>
              </w:rPr>
            </w:pPr>
          </w:p>
        </w:tc>
        <w:tc>
          <w:tcPr>
            <w:tcW w:w="709" w:type="dxa"/>
            <w:vMerge w:val="continue"/>
            <w:vAlign w:val="center"/>
          </w:tcPr>
          <w:p w14:paraId="2D4DC087">
            <w:pPr>
              <w:rPr>
                <w:rFonts w:ascii="宋体" w:hAnsi="宋体" w:cs="宋体"/>
                <w:sz w:val="21"/>
                <w:szCs w:val="21"/>
                <w:lang w:val="zh-CN"/>
              </w:rPr>
            </w:pPr>
          </w:p>
        </w:tc>
        <w:tc>
          <w:tcPr>
            <w:tcW w:w="2835" w:type="dxa"/>
            <w:vAlign w:val="center"/>
          </w:tcPr>
          <w:p w14:paraId="20B38F40">
            <w:pPr>
              <w:rPr>
                <w:rFonts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5267" w:type="dxa"/>
            <w:vMerge w:val="continue"/>
            <w:vAlign w:val="center"/>
          </w:tcPr>
          <w:p w14:paraId="187FD58E">
            <w:pPr>
              <w:rPr>
                <w:rFonts w:ascii="宋体" w:hAnsi="宋体" w:cs="宋体"/>
                <w:b/>
                <w:sz w:val="21"/>
                <w:szCs w:val="21"/>
              </w:rPr>
            </w:pPr>
          </w:p>
        </w:tc>
      </w:tr>
      <w:tr w14:paraId="3EEE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6A7CCE5">
            <w:pPr>
              <w:jc w:val="center"/>
              <w:rPr>
                <w:rFonts w:ascii="宋体" w:hAnsi="宋体" w:cs="宋体"/>
                <w:sz w:val="21"/>
                <w:szCs w:val="21"/>
              </w:rPr>
            </w:pPr>
          </w:p>
        </w:tc>
        <w:tc>
          <w:tcPr>
            <w:tcW w:w="709" w:type="dxa"/>
            <w:vMerge w:val="continue"/>
            <w:vAlign w:val="center"/>
          </w:tcPr>
          <w:p w14:paraId="05630930">
            <w:pPr>
              <w:rPr>
                <w:rFonts w:ascii="宋体" w:hAnsi="宋体" w:cs="宋体"/>
                <w:sz w:val="21"/>
                <w:szCs w:val="21"/>
              </w:rPr>
            </w:pPr>
          </w:p>
        </w:tc>
        <w:tc>
          <w:tcPr>
            <w:tcW w:w="2835" w:type="dxa"/>
            <w:vAlign w:val="center"/>
          </w:tcPr>
          <w:p w14:paraId="6DD558E2">
            <w:pPr>
              <w:rPr>
                <w:rFonts w:ascii="宋体" w:hAnsi="宋体" w:cs="宋体"/>
                <w:sz w:val="21"/>
                <w:szCs w:val="21"/>
              </w:rPr>
            </w:pPr>
            <w:r>
              <w:rPr>
                <w:rFonts w:hint="eastAsia" w:ascii="宋体" w:hAnsi="宋体" w:cs="宋体"/>
                <w:sz w:val="21"/>
                <w:szCs w:val="21"/>
              </w:rPr>
              <w:t>6.法律、行政法规规定的其他条件</w:t>
            </w:r>
          </w:p>
        </w:tc>
        <w:tc>
          <w:tcPr>
            <w:tcW w:w="5267" w:type="dxa"/>
            <w:vAlign w:val="center"/>
          </w:tcPr>
          <w:p w14:paraId="52A84918">
            <w:pPr>
              <w:rPr>
                <w:rFonts w:ascii="宋体" w:hAnsi="宋体" w:cs="宋体"/>
                <w:sz w:val="21"/>
                <w:szCs w:val="21"/>
              </w:rPr>
            </w:pPr>
          </w:p>
        </w:tc>
      </w:tr>
      <w:tr w14:paraId="3156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CA76D37">
            <w:pPr>
              <w:jc w:val="center"/>
              <w:rPr>
                <w:rFonts w:ascii="宋体" w:hAnsi="宋体" w:cs="宋体"/>
                <w:sz w:val="21"/>
                <w:szCs w:val="21"/>
              </w:rPr>
            </w:pPr>
          </w:p>
        </w:tc>
        <w:tc>
          <w:tcPr>
            <w:tcW w:w="709" w:type="dxa"/>
            <w:vMerge w:val="continue"/>
            <w:vAlign w:val="center"/>
          </w:tcPr>
          <w:p w14:paraId="114284A0">
            <w:pPr>
              <w:rPr>
                <w:rFonts w:ascii="宋体" w:hAnsi="宋体" w:cs="宋体"/>
                <w:sz w:val="21"/>
                <w:szCs w:val="21"/>
              </w:rPr>
            </w:pPr>
          </w:p>
        </w:tc>
        <w:tc>
          <w:tcPr>
            <w:tcW w:w="2835" w:type="dxa"/>
            <w:vAlign w:val="center"/>
          </w:tcPr>
          <w:p w14:paraId="3504ADDE">
            <w:pPr>
              <w:rPr>
                <w:rFonts w:ascii="宋体" w:hAnsi="宋体" w:cs="宋体"/>
                <w:sz w:val="21"/>
                <w:szCs w:val="21"/>
              </w:rPr>
            </w:pPr>
            <w:r>
              <w:rPr>
                <w:rFonts w:hint="eastAsia" w:ascii="宋体" w:hAnsi="宋体" w:cs="宋体"/>
                <w:sz w:val="21"/>
                <w:szCs w:val="21"/>
              </w:rPr>
              <w:t>7.本项目的特定资格要求</w:t>
            </w:r>
          </w:p>
        </w:tc>
        <w:tc>
          <w:tcPr>
            <w:tcW w:w="5267" w:type="dxa"/>
            <w:vAlign w:val="center"/>
          </w:tcPr>
          <w:p w14:paraId="7DC6AC1C">
            <w:pPr>
              <w:rPr>
                <w:rFonts w:ascii="宋体" w:hAnsi="宋体" w:cs="宋体"/>
                <w:sz w:val="21"/>
                <w:szCs w:val="21"/>
              </w:rPr>
            </w:pPr>
            <w:r>
              <w:rPr>
                <w:rFonts w:hint="eastAsia" w:ascii="宋体" w:hAnsi="宋体" w:cs="宋体"/>
                <w:sz w:val="21"/>
                <w:szCs w:val="21"/>
              </w:rPr>
              <w:t>按“第一篇三、供应商资格要求（三）本项目的特定资格要求”的要求提交。</w:t>
            </w:r>
          </w:p>
        </w:tc>
      </w:tr>
      <w:tr w14:paraId="19B6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8909518">
            <w:pPr>
              <w:jc w:val="center"/>
              <w:rPr>
                <w:rFonts w:ascii="宋体" w:hAnsi="宋体" w:cs="宋体"/>
                <w:sz w:val="21"/>
                <w:szCs w:val="21"/>
              </w:rPr>
            </w:pPr>
            <w:r>
              <w:rPr>
                <w:rFonts w:hint="eastAsia" w:ascii="宋体" w:hAnsi="宋体" w:cs="宋体"/>
                <w:sz w:val="21"/>
                <w:szCs w:val="21"/>
              </w:rPr>
              <w:t>（二）</w:t>
            </w:r>
          </w:p>
        </w:tc>
        <w:tc>
          <w:tcPr>
            <w:tcW w:w="3544" w:type="dxa"/>
            <w:gridSpan w:val="2"/>
            <w:vAlign w:val="center"/>
          </w:tcPr>
          <w:p w14:paraId="6B693DEF">
            <w:pPr>
              <w:rPr>
                <w:rFonts w:ascii="宋体" w:hAnsi="宋体" w:cs="宋体"/>
                <w:sz w:val="21"/>
                <w:szCs w:val="21"/>
              </w:rPr>
            </w:pPr>
            <w:r>
              <w:rPr>
                <w:rFonts w:hint="eastAsia" w:ascii="宋体" w:hAnsi="宋体" w:cs="宋体"/>
                <w:sz w:val="21"/>
                <w:szCs w:val="21"/>
              </w:rPr>
              <w:t>落实政府采购政策需满足的资格要求</w:t>
            </w:r>
          </w:p>
        </w:tc>
        <w:tc>
          <w:tcPr>
            <w:tcW w:w="5267" w:type="dxa"/>
            <w:vAlign w:val="center"/>
          </w:tcPr>
          <w:p w14:paraId="3BFCFD48">
            <w:pPr>
              <w:rPr>
                <w:rFonts w:ascii="宋体" w:hAnsi="宋体" w:cs="宋体"/>
                <w:sz w:val="21"/>
                <w:szCs w:val="21"/>
              </w:rPr>
            </w:pPr>
            <w:r>
              <w:rPr>
                <w:rFonts w:hint="eastAsia" w:ascii="宋体" w:hAnsi="宋体" w:cs="宋体"/>
                <w:sz w:val="21"/>
                <w:szCs w:val="21"/>
              </w:rPr>
              <w:t>按“第一篇三、供应商资格要求（二）落实政府采购政策需满足的资格要求”的要求提交。</w:t>
            </w:r>
          </w:p>
        </w:tc>
      </w:tr>
      <w:tr w14:paraId="5800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DECA1B">
            <w:pPr>
              <w:jc w:val="center"/>
              <w:rPr>
                <w:rFonts w:ascii="宋体" w:hAnsi="宋体" w:cs="宋体"/>
                <w:sz w:val="21"/>
                <w:szCs w:val="21"/>
              </w:rPr>
            </w:pPr>
            <w:r>
              <w:rPr>
                <w:rFonts w:hint="eastAsia" w:ascii="宋体" w:hAnsi="宋体" w:cs="宋体"/>
                <w:sz w:val="21"/>
                <w:szCs w:val="21"/>
              </w:rPr>
              <w:t>（三）</w:t>
            </w:r>
          </w:p>
        </w:tc>
        <w:tc>
          <w:tcPr>
            <w:tcW w:w="3544" w:type="dxa"/>
            <w:gridSpan w:val="2"/>
          </w:tcPr>
          <w:p w14:paraId="4F756E0D">
            <w:pPr>
              <w:jc w:val="left"/>
              <w:rPr>
                <w:rFonts w:ascii="宋体" w:hAnsi="宋体" w:cs="宋体"/>
                <w:sz w:val="21"/>
                <w:szCs w:val="21"/>
              </w:rPr>
            </w:pPr>
            <w:r>
              <w:rPr>
                <w:rFonts w:hint="eastAsia" w:ascii="宋体" w:hAnsi="宋体" w:cs="宋体"/>
                <w:sz w:val="21"/>
                <w:szCs w:val="21"/>
              </w:rPr>
              <w:t>保证金</w:t>
            </w:r>
          </w:p>
        </w:tc>
        <w:tc>
          <w:tcPr>
            <w:tcW w:w="5267" w:type="dxa"/>
          </w:tcPr>
          <w:p w14:paraId="1E0621EB">
            <w:pPr>
              <w:rPr>
                <w:rFonts w:ascii="宋体" w:hAnsi="宋体" w:cs="宋体"/>
                <w:sz w:val="21"/>
                <w:szCs w:val="21"/>
              </w:rPr>
            </w:pPr>
            <w:r>
              <w:rPr>
                <w:rFonts w:hint="eastAsia" w:ascii="宋体" w:hAnsi="宋体" w:cs="宋体"/>
                <w:sz w:val="21"/>
                <w:szCs w:val="21"/>
              </w:rPr>
              <w:t>按照竞争性谈判文件要求足额交纳所参与包的保证金。</w:t>
            </w:r>
          </w:p>
        </w:tc>
      </w:tr>
    </w:tbl>
    <w:p w14:paraId="1504BF84">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注：</w:t>
      </w:r>
    </w:p>
    <w:p w14:paraId="388685BA">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号）”执行。供应商可于响应文件提交截止时间前通过 “信用中国”网站(www.creditchina.gov.cn)、“中国政府采购网”(www.ccgp.gov.cn)等渠道查询信用记录。</w:t>
      </w:r>
    </w:p>
    <w:p w14:paraId="32D96BF6">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资格审查结束后，谈判小组应当向采购人、采购代理机构出具资格审查报告，确定参加谈判的供应商名单，并说明未通过资格审查的供应商未通过的原因。</w:t>
      </w:r>
    </w:p>
    <w:p w14:paraId="33246EFE">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资格审查报告应当由全体谈判小组成员签字确认。谈判小组出具资格审查报告后，采购人、采购代理机构应当将通过资格审查和未通过资格审查的供应商名单向所有提交响应文件的供应商当场宣布，并告知未通过资格审查的供应商未通过资格审查的原因，但涉及商业秘密的除外。</w:t>
      </w:r>
    </w:p>
    <w:p w14:paraId="628D34AE">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（三）谈判过程</w:t>
      </w:r>
    </w:p>
    <w:p w14:paraId="2BE06DEC">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1.资格审查结束后，以抽签的形式确定谈判顺序；采购人、采购代理机构组织谈判小组按照采购文件的规定依序与通过资格审查的供应商分别进行谈判。谈判过程中，谈判小组可以根据谈判情况调整轮次。</w:t>
      </w:r>
    </w:p>
    <w:p w14:paraId="2A858D45">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2.在谈判过程中谈判的任何一方不得向他人透露与谈判有关的技术资料、价格或其他信息。</w:t>
      </w:r>
    </w:p>
    <w:p w14:paraId="48E68B2E">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3.在谈判过程中，可以根据采购文件和谈判情况实质性变动采购需求中的技术、服务要求以及合同草案条款，但不得变动采购文件中的其他内容。实质性变动的内容，须经谈判小组中的采购人代表确认。谈判小组应当将变动的内容书面通知所有参加谈判的供应商，做好书面记录；要求供应商就变动的部分重新提交响应文件，并给予供应商重新提交响应文件的合理时间。</w:t>
      </w:r>
    </w:p>
    <w:p w14:paraId="21983BD8">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供应商应当按照谈判文件的变动情况和谈判小组的要求重新提交响应文件，并签字确认或者加盖公章；否则无效。供应商为法人的，由其法定代表人或者代理人签字确认；供应商为其他组织的，由其主要负责人或者代理人签字确认；供应商为自然人的，由其本人或者代理人签字确认。有效的变更内容书面材料应作为响应文件的一部分。</w:t>
      </w:r>
    </w:p>
    <w:p w14:paraId="4B063B8B">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4.谈判过程中，供应商可以根据谈判情况变更其响应文件，并将变更内容形成书面材料送谈判小组。供应商变更内容书面材料应当签字确认或者加盖公章，否则无效。供应商为法人的，由其法定代表人或者代理人签字确认；供应商为其他组织的，由其主要负责人或者代理人签字确认；供应商为自然人的，由其本人或者代理人签字确认。有效的变更内容书面材料应作为响应文件的一部分。</w:t>
      </w:r>
    </w:p>
    <w:p w14:paraId="55BD4E5C">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（四）评审过程</w:t>
      </w:r>
    </w:p>
    <w:p w14:paraId="48F9D77C">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1.实质性响应审查。谈判小组应当对响应文件进行评审，并根据谈判文件规定的采购程序、评定成交的标准等事项与实质性响应谈判文件要求的供应商进行谈判。谈判小组对未实质性响应谈判文件的响应文件按无效处理，并书面告知有关供应商，说明理由。实质性响应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667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3322C8A">
            <w:pPr>
              <w:jc w:val="center"/>
              <w:rPr>
                <w:rFonts w:ascii="宋体" w:hAnsi="宋体" w:cs="宋体"/>
                <w:b/>
                <w:kern w:val="0"/>
                <w:sz w:val="21"/>
                <w:szCs w:val="21"/>
              </w:rPr>
            </w:pPr>
            <w:r>
              <w:rPr>
                <w:rFonts w:hint="eastAsia" w:ascii="宋体" w:hAnsi="宋体" w:cs="宋体"/>
                <w:b/>
                <w:kern w:val="0"/>
                <w:sz w:val="21"/>
                <w:szCs w:val="21"/>
              </w:rPr>
              <w:t>序号</w:t>
            </w:r>
          </w:p>
        </w:tc>
        <w:tc>
          <w:tcPr>
            <w:tcW w:w="2694" w:type="dxa"/>
            <w:vAlign w:val="center"/>
          </w:tcPr>
          <w:p w14:paraId="44E510EF">
            <w:pPr>
              <w:jc w:val="center"/>
              <w:rPr>
                <w:rFonts w:ascii="宋体" w:hAnsi="宋体" w:cs="宋体"/>
                <w:b/>
                <w:kern w:val="0"/>
                <w:sz w:val="21"/>
                <w:szCs w:val="21"/>
              </w:rPr>
            </w:pPr>
            <w:r>
              <w:rPr>
                <w:rFonts w:hint="eastAsia" w:ascii="宋体" w:hAnsi="宋体" w:cs="宋体"/>
                <w:b/>
                <w:kern w:val="0"/>
                <w:sz w:val="21"/>
                <w:szCs w:val="21"/>
              </w:rPr>
              <w:t>审查因素</w:t>
            </w:r>
          </w:p>
        </w:tc>
        <w:tc>
          <w:tcPr>
            <w:tcW w:w="6259" w:type="dxa"/>
            <w:vAlign w:val="center"/>
          </w:tcPr>
          <w:p w14:paraId="168FB65E">
            <w:pPr>
              <w:jc w:val="center"/>
              <w:rPr>
                <w:rFonts w:ascii="宋体" w:hAnsi="宋体" w:cs="宋体"/>
                <w:b/>
                <w:kern w:val="0"/>
                <w:sz w:val="21"/>
                <w:szCs w:val="21"/>
              </w:rPr>
            </w:pPr>
            <w:r>
              <w:rPr>
                <w:rFonts w:hint="eastAsia" w:ascii="宋体" w:hAnsi="宋体" w:cs="宋体"/>
                <w:b/>
                <w:kern w:val="0"/>
                <w:sz w:val="21"/>
                <w:szCs w:val="21"/>
              </w:rPr>
              <w:t>审查标准</w:t>
            </w:r>
          </w:p>
        </w:tc>
      </w:tr>
      <w:tr w14:paraId="3C6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29454D4">
            <w:pPr>
              <w:jc w:val="center"/>
              <w:rPr>
                <w:rFonts w:ascii="宋体" w:hAnsi="宋体" w:cs="宋体"/>
                <w:kern w:val="0"/>
                <w:sz w:val="21"/>
                <w:szCs w:val="21"/>
              </w:rPr>
            </w:pPr>
            <w:r>
              <w:rPr>
                <w:rFonts w:hint="eastAsia" w:ascii="宋体" w:hAnsi="宋体" w:cs="宋体"/>
                <w:kern w:val="0"/>
                <w:sz w:val="21"/>
                <w:szCs w:val="21"/>
              </w:rPr>
              <w:t>1</w:t>
            </w:r>
          </w:p>
        </w:tc>
        <w:tc>
          <w:tcPr>
            <w:tcW w:w="2694" w:type="dxa"/>
            <w:vAlign w:val="center"/>
          </w:tcPr>
          <w:p w14:paraId="5657D65A">
            <w:pPr>
              <w:rPr>
                <w:rFonts w:ascii="宋体" w:hAnsi="宋体" w:cs="宋体"/>
                <w:kern w:val="0"/>
                <w:sz w:val="21"/>
                <w:szCs w:val="21"/>
              </w:rPr>
            </w:pPr>
            <w:r>
              <w:rPr>
                <w:rFonts w:hint="eastAsia" w:ascii="宋体" w:hAnsi="宋体" w:cs="宋体"/>
                <w:sz w:val="21"/>
                <w:szCs w:val="21"/>
              </w:rPr>
              <w:t>响应文件签署或盖章</w:t>
            </w:r>
          </w:p>
        </w:tc>
        <w:tc>
          <w:tcPr>
            <w:tcW w:w="6259" w:type="dxa"/>
            <w:vAlign w:val="center"/>
          </w:tcPr>
          <w:p w14:paraId="558765CC">
            <w:pPr>
              <w:rPr>
                <w:rFonts w:ascii="宋体" w:hAnsi="宋体" w:cs="宋体"/>
                <w:kern w:val="0"/>
                <w:sz w:val="21"/>
                <w:szCs w:val="21"/>
              </w:rPr>
            </w:pPr>
            <w:r>
              <w:rPr>
                <w:rFonts w:hint="eastAsia" w:ascii="宋体" w:hAnsi="宋体" w:cs="宋体"/>
                <w:sz w:val="21"/>
                <w:szCs w:val="21"/>
              </w:rPr>
              <w:t>按“第七篇响应文件格式要求”要求签署或盖章</w:t>
            </w:r>
          </w:p>
        </w:tc>
      </w:tr>
      <w:tr w14:paraId="367E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F039B9C">
            <w:pPr>
              <w:jc w:val="center"/>
              <w:rPr>
                <w:rFonts w:ascii="宋体" w:hAnsi="宋体" w:cs="宋体"/>
                <w:kern w:val="0"/>
                <w:sz w:val="21"/>
                <w:szCs w:val="21"/>
              </w:rPr>
            </w:pPr>
          </w:p>
        </w:tc>
        <w:tc>
          <w:tcPr>
            <w:tcW w:w="2694" w:type="dxa"/>
            <w:vAlign w:val="center"/>
          </w:tcPr>
          <w:p w14:paraId="483EF7B3">
            <w:pPr>
              <w:rPr>
                <w:rFonts w:ascii="宋体" w:hAnsi="宋体" w:cs="宋体"/>
                <w:sz w:val="21"/>
                <w:szCs w:val="21"/>
              </w:rPr>
            </w:pPr>
            <w:r>
              <w:rPr>
                <w:rFonts w:hint="eastAsia" w:ascii="宋体" w:hAnsi="宋体" w:cs="宋体"/>
                <w:sz w:val="21"/>
                <w:szCs w:val="21"/>
              </w:rPr>
              <w:t>法定代表人身份证明及授权委托书</w:t>
            </w:r>
          </w:p>
        </w:tc>
        <w:tc>
          <w:tcPr>
            <w:tcW w:w="6259" w:type="dxa"/>
            <w:vAlign w:val="center"/>
          </w:tcPr>
          <w:p w14:paraId="0EE71C07">
            <w:pPr>
              <w:rPr>
                <w:rFonts w:ascii="宋体" w:hAnsi="宋体" w:cs="宋体"/>
                <w:sz w:val="21"/>
                <w:szCs w:val="21"/>
              </w:rPr>
            </w:pPr>
            <w:r>
              <w:rPr>
                <w:rFonts w:hint="eastAsia" w:ascii="宋体" w:hAnsi="宋体" w:cs="宋体"/>
                <w:sz w:val="21"/>
                <w:szCs w:val="21"/>
              </w:rPr>
              <w:t>法定代表人身份证明及授权委托书有效，符合竞争性谈判文件规定的格式，签署或盖章齐全。</w:t>
            </w:r>
          </w:p>
        </w:tc>
      </w:tr>
      <w:tr w14:paraId="52C3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CBA7DCD">
            <w:pPr>
              <w:jc w:val="center"/>
              <w:rPr>
                <w:rFonts w:ascii="宋体" w:hAnsi="宋体" w:cs="宋体"/>
                <w:kern w:val="0"/>
                <w:sz w:val="21"/>
                <w:szCs w:val="21"/>
              </w:rPr>
            </w:pPr>
          </w:p>
        </w:tc>
        <w:tc>
          <w:tcPr>
            <w:tcW w:w="2694" w:type="dxa"/>
            <w:vAlign w:val="center"/>
          </w:tcPr>
          <w:p w14:paraId="0DB6C2B1">
            <w:pPr>
              <w:rPr>
                <w:rFonts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6259" w:type="dxa"/>
            <w:vAlign w:val="center"/>
          </w:tcPr>
          <w:p w14:paraId="0E2228F2">
            <w:pPr>
              <w:rPr>
                <w:rFonts w:ascii="宋体" w:hAnsi="宋体" w:cs="宋体"/>
                <w:kern w:val="0"/>
                <w:sz w:val="21"/>
                <w:szCs w:val="21"/>
              </w:rPr>
            </w:pPr>
            <w:r>
              <w:rPr>
                <w:rFonts w:hint="eastAsia" w:ascii="宋体" w:hAnsi="宋体" w:cs="宋体"/>
                <w:sz w:val="21"/>
                <w:szCs w:val="21"/>
                <w:lang w:val="zh-CN"/>
              </w:rPr>
              <w:t>只能有一个</w:t>
            </w:r>
            <w:r>
              <w:rPr>
                <w:rFonts w:hint="eastAsia" w:ascii="宋体" w:hAnsi="宋体" w:cs="宋体"/>
                <w:sz w:val="21"/>
                <w:szCs w:val="21"/>
              </w:rPr>
              <w:t>响应</w:t>
            </w:r>
            <w:r>
              <w:rPr>
                <w:rFonts w:hint="eastAsia" w:ascii="宋体" w:hAnsi="宋体" w:cs="宋体"/>
                <w:sz w:val="21"/>
                <w:szCs w:val="21"/>
                <w:lang w:val="zh-CN"/>
              </w:rPr>
              <w:t>方案。</w:t>
            </w:r>
          </w:p>
        </w:tc>
      </w:tr>
      <w:tr w14:paraId="1CA4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C1CCD3F">
            <w:pPr>
              <w:jc w:val="center"/>
              <w:rPr>
                <w:rFonts w:ascii="宋体" w:hAnsi="宋体" w:cs="宋体"/>
                <w:kern w:val="0"/>
                <w:sz w:val="21"/>
                <w:szCs w:val="21"/>
              </w:rPr>
            </w:pPr>
          </w:p>
        </w:tc>
        <w:tc>
          <w:tcPr>
            <w:tcW w:w="2694" w:type="dxa"/>
            <w:vAlign w:val="center"/>
          </w:tcPr>
          <w:p w14:paraId="3571BF5A">
            <w:pPr>
              <w:rPr>
                <w:rFonts w:ascii="宋体" w:hAnsi="宋体" w:cs="宋体"/>
                <w:sz w:val="21"/>
                <w:szCs w:val="21"/>
                <w:lang w:val="zh-CN"/>
              </w:rPr>
            </w:pPr>
            <w:r>
              <w:rPr>
                <w:rFonts w:hint="eastAsia" w:ascii="宋体" w:hAnsi="宋体" w:cs="宋体"/>
                <w:sz w:val="21"/>
                <w:szCs w:val="21"/>
              </w:rPr>
              <w:t>报价唯一</w:t>
            </w:r>
          </w:p>
        </w:tc>
        <w:tc>
          <w:tcPr>
            <w:tcW w:w="6259" w:type="dxa"/>
            <w:vAlign w:val="center"/>
          </w:tcPr>
          <w:p w14:paraId="69E3FA12">
            <w:pPr>
              <w:rPr>
                <w:rFonts w:ascii="宋体" w:hAnsi="宋体" w:cs="宋体"/>
                <w:kern w:val="0"/>
                <w:sz w:val="21"/>
                <w:szCs w:val="21"/>
              </w:rPr>
            </w:pPr>
            <w:r>
              <w:rPr>
                <w:rFonts w:hint="eastAsia" w:ascii="宋体" w:hAnsi="宋体" w:cs="宋体"/>
                <w:sz w:val="21"/>
                <w:szCs w:val="21"/>
              </w:rPr>
              <w:t>只能有一个有效报价，不得提交选择性报价。</w:t>
            </w:r>
          </w:p>
        </w:tc>
      </w:tr>
      <w:tr w14:paraId="39CF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2FABB9B8">
            <w:pPr>
              <w:jc w:val="center"/>
              <w:rPr>
                <w:rFonts w:ascii="宋体" w:hAnsi="宋体" w:cs="宋体"/>
                <w:kern w:val="0"/>
                <w:sz w:val="21"/>
                <w:szCs w:val="21"/>
              </w:rPr>
            </w:pPr>
            <w:r>
              <w:rPr>
                <w:rFonts w:hint="eastAsia" w:ascii="宋体" w:hAnsi="宋体" w:cs="宋体"/>
                <w:kern w:val="0"/>
                <w:sz w:val="21"/>
                <w:szCs w:val="21"/>
              </w:rPr>
              <w:t>2</w:t>
            </w:r>
          </w:p>
        </w:tc>
        <w:tc>
          <w:tcPr>
            <w:tcW w:w="2694" w:type="dxa"/>
            <w:vAlign w:val="center"/>
          </w:tcPr>
          <w:p w14:paraId="6B175889">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6259" w:type="dxa"/>
            <w:vAlign w:val="center"/>
          </w:tcPr>
          <w:p w14:paraId="4A3DC916">
            <w:pPr>
              <w:rPr>
                <w:rFonts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竞争性谈判</w:t>
            </w:r>
            <w:r>
              <w:rPr>
                <w:rFonts w:hint="eastAsia" w:ascii="宋体" w:hAnsi="宋体" w:cs="宋体"/>
                <w:sz w:val="21"/>
                <w:szCs w:val="21"/>
                <w:lang w:val="zh-CN"/>
              </w:rPr>
              <w:t>文件要求。</w:t>
            </w:r>
          </w:p>
        </w:tc>
      </w:tr>
      <w:tr w14:paraId="394C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BE9B20B">
            <w:pPr>
              <w:jc w:val="center"/>
              <w:rPr>
                <w:rFonts w:ascii="宋体" w:hAnsi="宋体" w:cs="宋体"/>
                <w:kern w:val="0"/>
                <w:sz w:val="21"/>
                <w:szCs w:val="21"/>
              </w:rPr>
            </w:pPr>
            <w:r>
              <w:rPr>
                <w:rFonts w:hint="eastAsia" w:ascii="宋体" w:hAnsi="宋体" w:cs="宋体"/>
                <w:kern w:val="0"/>
                <w:sz w:val="21"/>
                <w:szCs w:val="21"/>
              </w:rPr>
              <w:t>3</w:t>
            </w:r>
          </w:p>
        </w:tc>
        <w:tc>
          <w:tcPr>
            <w:tcW w:w="2694" w:type="dxa"/>
            <w:vAlign w:val="center"/>
          </w:tcPr>
          <w:p w14:paraId="660CA5F5">
            <w:pPr>
              <w:rPr>
                <w:rFonts w:ascii="宋体" w:hAnsi="宋体" w:cs="宋体"/>
                <w:kern w:val="0"/>
                <w:sz w:val="21"/>
                <w:szCs w:val="21"/>
              </w:rPr>
            </w:pPr>
            <w:r>
              <w:rPr>
                <w:rFonts w:hint="eastAsia" w:ascii="宋体" w:hAnsi="宋体" w:cs="宋体"/>
                <w:kern w:val="0"/>
                <w:sz w:val="21"/>
                <w:szCs w:val="21"/>
              </w:rPr>
              <w:t>响应文件内容</w:t>
            </w:r>
          </w:p>
        </w:tc>
        <w:tc>
          <w:tcPr>
            <w:tcW w:w="6259" w:type="dxa"/>
            <w:vAlign w:val="center"/>
          </w:tcPr>
          <w:p w14:paraId="07D34DEB">
            <w:pPr>
              <w:pStyle w:val="32"/>
              <w:rPr>
                <w:rFonts w:ascii="宋体" w:hAnsi="宋体" w:cs="宋体"/>
                <w:kern w:val="0"/>
                <w:sz w:val="21"/>
                <w:szCs w:val="21"/>
              </w:rPr>
            </w:pPr>
            <w:r>
              <w:rPr>
                <w:rFonts w:hint="eastAsia" w:ascii="宋体" w:hAnsi="宋体" w:cs="宋体"/>
                <w:kern w:val="0"/>
                <w:sz w:val="21"/>
                <w:szCs w:val="21"/>
              </w:rPr>
              <w:t>对竞争性谈判文件第二篇、第三篇规定的谈判内容进行实质性响应。</w:t>
            </w:r>
          </w:p>
        </w:tc>
      </w:tr>
      <w:tr w14:paraId="2258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EAC9826">
            <w:pPr>
              <w:jc w:val="center"/>
              <w:rPr>
                <w:rFonts w:ascii="宋体" w:hAnsi="宋体" w:cs="宋体"/>
                <w:kern w:val="0"/>
                <w:sz w:val="21"/>
                <w:szCs w:val="21"/>
              </w:rPr>
            </w:pPr>
          </w:p>
        </w:tc>
        <w:tc>
          <w:tcPr>
            <w:tcW w:w="2694" w:type="dxa"/>
            <w:vAlign w:val="center"/>
          </w:tcPr>
          <w:p w14:paraId="3125C898">
            <w:pPr>
              <w:rPr>
                <w:rFonts w:ascii="宋体" w:hAnsi="宋体" w:cs="宋体"/>
                <w:kern w:val="0"/>
                <w:sz w:val="21"/>
                <w:szCs w:val="21"/>
              </w:rPr>
            </w:pPr>
            <w:r>
              <w:rPr>
                <w:rFonts w:hint="eastAsia" w:ascii="宋体" w:hAnsi="宋体" w:cs="宋体"/>
                <w:kern w:val="0"/>
                <w:sz w:val="21"/>
                <w:szCs w:val="21"/>
              </w:rPr>
              <w:t>谈判有效期</w:t>
            </w:r>
          </w:p>
        </w:tc>
        <w:tc>
          <w:tcPr>
            <w:tcW w:w="6259" w:type="dxa"/>
            <w:vAlign w:val="center"/>
          </w:tcPr>
          <w:p w14:paraId="4A89BA17">
            <w:pPr>
              <w:rPr>
                <w:rFonts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0E5F1EEB">
      <w:pPr>
        <w:pStyle w:val="33"/>
        <w:spacing w:line="400" w:lineRule="exact"/>
        <w:ind w:firstLine="480" w:firstLineChars="200"/>
        <w:rPr>
          <w:rFonts w:ascii="宋体" w:hAnsi="宋体" w:cs="宋体"/>
          <w:sz w:val="24"/>
          <w:szCs w:val="24"/>
        </w:rPr>
      </w:pPr>
      <w:bookmarkStart w:id="150" w:name="_Toc65660351"/>
      <w:bookmarkStart w:id="151" w:name="_Toc30639"/>
      <w:bookmarkStart w:id="152" w:name="_Toc30511"/>
      <w:bookmarkStart w:id="153" w:name="_Toc64732013"/>
      <w:bookmarkStart w:id="154" w:name="_Toc11713"/>
      <w:bookmarkStart w:id="155" w:name="_Toc17973"/>
      <w:bookmarkStart w:id="156" w:name="_Toc30257"/>
      <w:r>
        <w:rPr>
          <w:rFonts w:hint="eastAsia" w:ascii="宋体" w:hAnsi="宋体" w:cs="宋体"/>
          <w:sz w:val="24"/>
          <w:szCs w:val="24"/>
        </w:rPr>
        <w:t>2.谈判小组在评审过程中，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0F7183">
      <w:pPr>
        <w:pStyle w:val="33"/>
        <w:spacing w:line="400" w:lineRule="exact"/>
        <w:ind w:firstLine="480" w:firstLineChars="200"/>
        <w:rPr>
          <w:rFonts w:ascii="宋体" w:hAnsi="宋体" w:cs="宋体"/>
          <w:sz w:val="24"/>
          <w:szCs w:val="24"/>
        </w:rPr>
      </w:pPr>
      <w:bookmarkStart w:id="157" w:name="OLE_LINK5"/>
      <w:r>
        <w:rPr>
          <w:rFonts w:hint="eastAsia" w:ascii="宋体" w:hAnsi="宋体" w:cs="宋体"/>
          <w:sz w:val="24"/>
          <w:szCs w:val="24"/>
        </w:rPr>
        <w:t>谈判小组要求供应商澄清、说明或者更正响应文件应当以书面形式（须由谈判小组全体成员签字）作出，并给予供应商必要的反馈时间。</w:t>
      </w:r>
      <w:bookmarkEnd w:id="157"/>
      <w:r>
        <w:rPr>
          <w:rFonts w:hint="eastAsia" w:ascii="宋体" w:hAnsi="宋体" w:cs="宋体"/>
          <w:sz w:val="24"/>
          <w:szCs w:val="24"/>
        </w:rPr>
        <w:t>供应商的澄清、说明或者更正应当签字确认或者加盖公章；否则无效。供应商为法人的，由其法定代表人或者代理人签字确认；供应商为其他组织的，由其主要负责人或者代理人签字确认；供应商为自然人的 ，由其本人或者代理人签字确认。有效的变更内容书面材料应作为响应文件的一部分。供应商响应文件中已经提供授权书、身份证明的，可以不再提供。</w:t>
      </w:r>
    </w:p>
    <w:p w14:paraId="7F307BBA">
      <w:pPr>
        <w:pStyle w:val="33"/>
        <w:spacing w:line="400" w:lineRule="exact"/>
        <w:ind w:firstLine="480" w:firstLineChars="200"/>
        <w:rPr>
          <w:rFonts w:ascii="宋体" w:hAnsi="宋体" w:cs="宋体"/>
          <w:sz w:val="24"/>
          <w:szCs w:val="24"/>
        </w:rPr>
      </w:pPr>
      <w:r>
        <w:rPr>
          <w:rFonts w:hint="eastAsia" w:ascii="宋体" w:hAnsi="宋体" w:cs="宋体"/>
          <w:sz w:val="24"/>
          <w:szCs w:val="24"/>
        </w:rPr>
        <w:t>（五）谈判小组要求所有要求所有实质性响应的供应商在规定时间内同时书面提交最后报价（《最后报价表》在谈判现场向供应商提供）。已提交响应文件但未在规定时间内进行最后报价的供应商，视为放弃最后报价，以供应商响应文件中的报价为准。</w:t>
      </w:r>
    </w:p>
    <w:p w14:paraId="35A0CB99">
      <w:pPr>
        <w:pStyle w:val="33"/>
        <w:spacing w:line="400" w:lineRule="exact"/>
        <w:ind w:firstLine="480" w:firstLineChars="200"/>
        <w:rPr>
          <w:rFonts w:ascii="宋体" w:hAnsi="宋体" w:cs="宋体"/>
          <w:sz w:val="24"/>
          <w:szCs w:val="24"/>
        </w:rPr>
      </w:pPr>
      <w:r>
        <w:rPr>
          <w:rFonts w:hint="eastAsia" w:ascii="宋体" w:hAnsi="宋体" w:cs="宋体"/>
          <w:sz w:val="24"/>
          <w:szCs w:val="24"/>
        </w:rPr>
        <w:t>（六）评审的依据为竞争性谈判文件和响应文件。谈判小组判断响应文件对竞争性谈判文件的响应，仅基于响应文件本身而不靠外部证据。</w:t>
      </w:r>
    </w:p>
    <w:p w14:paraId="1861C0A8">
      <w:pPr>
        <w:pStyle w:val="3"/>
        <w:adjustRightInd w:val="0"/>
        <w:snapToGrid w:val="0"/>
        <w:spacing w:before="0" w:after="0" w:line="400" w:lineRule="exact"/>
        <w:ind w:firstLine="482" w:firstLineChars="200"/>
        <w:rPr>
          <w:rFonts w:ascii="宋体" w:hAnsi="宋体" w:cs="宋体"/>
        </w:rPr>
      </w:pPr>
      <w:bookmarkStart w:id="158" w:name="_Toc20525"/>
      <w:r>
        <w:rPr>
          <w:rFonts w:hint="eastAsia" w:ascii="宋体" w:hAnsi="宋体" w:cs="宋体"/>
        </w:rPr>
        <w:t>二、评定成交的标准</w:t>
      </w:r>
      <w:bookmarkEnd w:id="150"/>
      <w:bookmarkEnd w:id="151"/>
      <w:bookmarkEnd w:id="152"/>
      <w:bookmarkEnd w:id="153"/>
      <w:bookmarkEnd w:id="154"/>
      <w:bookmarkEnd w:id="155"/>
      <w:bookmarkEnd w:id="156"/>
      <w:bookmarkEnd w:id="158"/>
    </w:p>
    <w:p w14:paraId="22C015FC">
      <w:pPr>
        <w:pStyle w:val="33"/>
        <w:spacing w:line="400" w:lineRule="exact"/>
        <w:ind w:firstLine="480" w:firstLineChars="200"/>
        <w:rPr>
          <w:rFonts w:ascii="宋体" w:hAnsi="宋体" w:cs="宋体"/>
          <w:color w:val="000000" w:themeColor="text1"/>
          <w:sz w:val="24"/>
          <w:szCs w:val="24"/>
        </w:rPr>
      </w:pPr>
      <w:bookmarkStart w:id="159" w:name="_Toc29113"/>
      <w:bookmarkStart w:id="160" w:name="_Toc7018"/>
      <w:bookmarkStart w:id="161" w:name="_Toc22359"/>
      <w:bookmarkStart w:id="162" w:name="_Toc21501"/>
      <w:bookmarkStart w:id="163" w:name="_Toc12644"/>
      <w:bookmarkStart w:id="164" w:name="_Toc65660352"/>
      <w:r>
        <w:rPr>
          <w:rFonts w:hint="eastAsia" w:ascii="宋体" w:hAnsi="宋体" w:cs="宋体"/>
          <w:color w:val="000000" w:themeColor="text1"/>
          <w:sz w:val="24"/>
          <w:szCs w:val="24"/>
        </w:rPr>
        <w:t>（一）谈判小组将依照本竞争性谈判文件相关规定对服务和商务均能满足竞争性谈判实质性响应要求的供应商所提交的最后报价进行政策性扣减</w:t>
      </w:r>
      <w:r>
        <w:rPr>
          <w:rFonts w:hint="eastAsia" w:ascii="宋体" w:hAnsi="宋体" w:cs="宋体"/>
          <w:b/>
          <w:bCs/>
          <w:color w:val="000000" w:themeColor="text1"/>
          <w:sz w:val="24"/>
          <w:szCs w:val="24"/>
        </w:rPr>
        <w:t>（本项目不进行政策性扣减）</w:t>
      </w:r>
      <w:r>
        <w:rPr>
          <w:rFonts w:hint="eastAsia" w:ascii="宋体" w:hAnsi="宋体" w:cs="宋体"/>
          <w:color w:val="000000" w:themeColor="text1"/>
          <w:sz w:val="24"/>
          <w:szCs w:val="24"/>
        </w:rPr>
        <w:t>，并依据扣减后的价格按照由低到高的顺序提出3名以上成交候选人，并编写评审报告。</w:t>
      </w:r>
    </w:p>
    <w:p w14:paraId="34FD51A3">
      <w:pPr>
        <w:pStyle w:val="33"/>
        <w:spacing w:line="400" w:lineRule="exact"/>
        <w:ind w:firstLine="480" w:firstLineChars="200"/>
        <w:rPr>
          <w:rFonts w:ascii="宋体" w:hAnsi="宋体" w:cs="宋体"/>
          <w:sz w:val="24"/>
          <w:szCs w:val="24"/>
        </w:rPr>
      </w:pPr>
      <w:r>
        <w:rPr>
          <w:rFonts w:hint="eastAsia" w:ascii="宋体" w:hAnsi="宋体" w:cs="宋体"/>
          <w:sz w:val="24"/>
          <w:szCs w:val="24"/>
        </w:rPr>
        <w:t>1.根据《关于推动解决政府采购异常低价问题的通知》财库〔2026〕2号文件规定，政府采购评审中出现下列情形之一的，谈判小组应当启动异常低价响应审查程序：</w:t>
      </w:r>
    </w:p>
    <w:p w14:paraId="2F70400F">
      <w:pPr>
        <w:pStyle w:val="33"/>
        <w:spacing w:line="400" w:lineRule="exact"/>
        <w:ind w:firstLine="480" w:firstLineChars="200"/>
        <w:rPr>
          <w:rFonts w:ascii="宋体" w:hAnsi="宋体" w:cs="宋体"/>
          <w:sz w:val="24"/>
          <w:szCs w:val="24"/>
        </w:rPr>
      </w:pPr>
      <w:r>
        <w:rPr>
          <w:rFonts w:hint="eastAsia" w:ascii="宋体" w:hAnsi="宋体" w:cs="宋体"/>
          <w:sz w:val="24"/>
          <w:szCs w:val="24"/>
        </w:rPr>
        <w:t>1.1响应报价低于全部通过实质性响应审查供应商响应报价平均值50%的，即响应报价&lt;全部通过实质性响应审查供应商响应报价平均值×50%；</w:t>
      </w:r>
    </w:p>
    <w:p w14:paraId="0633298A">
      <w:pPr>
        <w:pStyle w:val="33"/>
        <w:spacing w:line="400" w:lineRule="exact"/>
        <w:ind w:firstLine="480" w:firstLineChars="200"/>
        <w:rPr>
          <w:rFonts w:ascii="宋体" w:hAnsi="宋体" w:cs="宋体"/>
          <w:sz w:val="24"/>
          <w:szCs w:val="24"/>
        </w:rPr>
      </w:pPr>
      <w:r>
        <w:rPr>
          <w:rFonts w:hint="eastAsia" w:ascii="宋体" w:hAnsi="宋体" w:cs="宋体"/>
          <w:sz w:val="24"/>
          <w:szCs w:val="24"/>
        </w:rPr>
        <w:t>1.2响应报价低于通过实质性响应审查的次低报价供应商响应报价50%的，即响应报价&lt;通过实质性响应审查的次低报价供应商响应报价×50%；</w:t>
      </w:r>
    </w:p>
    <w:p w14:paraId="24BAA36B">
      <w:pPr>
        <w:pStyle w:val="33"/>
        <w:spacing w:line="400" w:lineRule="exact"/>
        <w:ind w:firstLine="480" w:firstLineChars="200"/>
        <w:rPr>
          <w:rFonts w:ascii="宋体" w:hAnsi="宋体" w:cs="宋体"/>
          <w:sz w:val="24"/>
          <w:szCs w:val="24"/>
        </w:rPr>
      </w:pPr>
      <w:r>
        <w:rPr>
          <w:rFonts w:hint="eastAsia" w:ascii="宋体" w:hAnsi="宋体" w:cs="宋体"/>
          <w:sz w:val="24"/>
          <w:szCs w:val="24"/>
        </w:rPr>
        <w:t>1.3响应报价低于采购项目最高限价45%的，即响应报价&lt;采购项目最高限价×45%；</w:t>
      </w:r>
    </w:p>
    <w:p w14:paraId="2161DD2A">
      <w:pPr>
        <w:pStyle w:val="33"/>
        <w:spacing w:line="400" w:lineRule="exact"/>
        <w:ind w:firstLine="480" w:firstLineChars="200"/>
        <w:rPr>
          <w:rFonts w:ascii="宋体" w:hAnsi="宋体" w:cs="宋体"/>
          <w:sz w:val="24"/>
          <w:szCs w:val="24"/>
        </w:rPr>
      </w:pPr>
      <w:r>
        <w:rPr>
          <w:rFonts w:hint="eastAsia" w:ascii="宋体" w:hAnsi="宋体" w:cs="宋体"/>
          <w:sz w:val="24"/>
          <w:szCs w:val="24"/>
        </w:rPr>
        <w:t>1.4谈判小组基于专业判断，认为供应商报价过低，有可能影响产品质量或者不能诚信履约的其他情形。</w:t>
      </w:r>
    </w:p>
    <w:p w14:paraId="5D3EA696">
      <w:pPr>
        <w:pStyle w:val="33"/>
        <w:spacing w:line="400" w:lineRule="exact"/>
        <w:ind w:firstLine="480" w:firstLineChars="200"/>
        <w:rPr>
          <w:rFonts w:ascii="宋体" w:hAnsi="宋体" w:cs="宋体"/>
          <w:sz w:val="24"/>
          <w:szCs w:val="24"/>
        </w:rPr>
      </w:pPr>
      <w:r>
        <w:rPr>
          <w:rFonts w:hint="eastAsia" w:ascii="宋体" w:hAnsi="宋体" w:cs="宋体"/>
          <w:sz w:val="24"/>
          <w:szCs w:val="24"/>
        </w:rPr>
        <w:t>谈判小组启动异常低价响应审查后，属于前述第1.1项至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响应文件一并提交相关书面说明及必要的证明材料的，在评审现场可不再重复提交。</w:t>
      </w:r>
    </w:p>
    <w:p w14:paraId="30072329">
      <w:pPr>
        <w:pStyle w:val="33"/>
        <w:spacing w:line="400" w:lineRule="exact"/>
        <w:ind w:firstLine="480" w:firstLineChars="200"/>
        <w:rPr>
          <w:rFonts w:ascii="宋体" w:hAnsi="宋体" w:cs="宋体"/>
          <w:sz w:val="24"/>
          <w:szCs w:val="24"/>
        </w:rPr>
      </w:pPr>
      <w:r>
        <w:rPr>
          <w:rFonts w:hint="eastAsia" w:ascii="宋体" w:hAnsi="宋体" w:cs="宋体"/>
          <w:sz w:val="24"/>
          <w:szCs w:val="24"/>
        </w:rPr>
        <w:t>谈判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4DDC7F21">
      <w:pPr>
        <w:pStyle w:val="33"/>
        <w:spacing w:line="400" w:lineRule="exact"/>
        <w:ind w:firstLine="480" w:firstLineChars="200"/>
        <w:rPr>
          <w:rFonts w:ascii="宋体" w:hAnsi="宋体" w:cs="宋体"/>
          <w:sz w:val="24"/>
          <w:szCs w:val="24"/>
        </w:rPr>
      </w:pPr>
      <w:r>
        <w:rPr>
          <w:rFonts w:hint="eastAsia" w:ascii="宋体" w:hAnsi="宋体" w:cs="宋体"/>
          <w:sz w:val="24"/>
          <w:szCs w:val="24"/>
        </w:rPr>
        <w:t>（二）若供应商的最后报价经扣减后价格相同，由谈判小组组织供应商抽签确定推荐的成交候选供应商顺序。</w:t>
      </w:r>
    </w:p>
    <w:p w14:paraId="393F13CB">
      <w:pPr>
        <w:pStyle w:val="33"/>
        <w:spacing w:line="400" w:lineRule="exact"/>
        <w:ind w:firstLine="480" w:firstLineChars="200"/>
        <w:rPr>
          <w:rFonts w:ascii="宋体" w:hAnsi="宋体" w:cs="宋体"/>
          <w:sz w:val="24"/>
          <w:szCs w:val="24"/>
        </w:rPr>
      </w:pPr>
      <w:r>
        <w:rPr>
          <w:rFonts w:hint="eastAsia" w:ascii="宋体" w:hAnsi="宋体" w:cs="宋体"/>
          <w:sz w:val="24"/>
          <w:szCs w:val="24"/>
        </w:rPr>
        <w:t>（三）成交价格=成交供应商的最后报价。</w:t>
      </w:r>
    </w:p>
    <w:p w14:paraId="4ECB189A">
      <w:pPr>
        <w:pStyle w:val="3"/>
        <w:adjustRightInd w:val="0"/>
        <w:snapToGrid w:val="0"/>
        <w:spacing w:before="0" w:after="0" w:line="400" w:lineRule="exact"/>
        <w:ind w:firstLine="482" w:firstLineChars="200"/>
        <w:rPr>
          <w:rFonts w:ascii="宋体" w:hAnsi="宋体" w:cs="宋体"/>
        </w:rPr>
      </w:pPr>
      <w:bookmarkStart w:id="165" w:name="_Toc32350"/>
      <w:r>
        <w:rPr>
          <w:rFonts w:hint="eastAsia" w:ascii="宋体" w:hAnsi="宋体" w:cs="宋体"/>
        </w:rPr>
        <w:t>三、无效谈判</w:t>
      </w:r>
      <w:bookmarkEnd w:id="159"/>
      <w:bookmarkEnd w:id="160"/>
      <w:bookmarkEnd w:id="161"/>
      <w:bookmarkEnd w:id="162"/>
      <w:bookmarkEnd w:id="163"/>
      <w:bookmarkEnd w:id="164"/>
      <w:bookmarkEnd w:id="165"/>
    </w:p>
    <w:p w14:paraId="1A9A35B9">
      <w:pPr>
        <w:pStyle w:val="33"/>
        <w:spacing w:line="400" w:lineRule="exact"/>
        <w:ind w:firstLine="480" w:firstLineChars="200"/>
        <w:rPr>
          <w:rFonts w:ascii="宋体" w:hAnsi="宋体" w:cs="宋体"/>
          <w:sz w:val="24"/>
          <w:szCs w:val="24"/>
        </w:rPr>
      </w:pPr>
      <w:bookmarkStart w:id="166" w:name="_Toc27748"/>
      <w:bookmarkStart w:id="167" w:name="_Toc65660353"/>
      <w:bookmarkStart w:id="168" w:name="_Toc28422"/>
      <w:bookmarkStart w:id="169" w:name="_Toc29298"/>
      <w:bookmarkStart w:id="170" w:name="_Toc5653"/>
      <w:bookmarkStart w:id="171" w:name="_Toc20702"/>
      <w:r>
        <w:rPr>
          <w:rFonts w:hint="eastAsia" w:ascii="宋体" w:hAnsi="宋体" w:cs="宋体"/>
          <w:sz w:val="24"/>
          <w:szCs w:val="24"/>
        </w:rPr>
        <w:t>供应商发生以下条款情况之一者，视为无效谈判：</w:t>
      </w:r>
    </w:p>
    <w:p w14:paraId="10A8E3E8">
      <w:pPr>
        <w:pStyle w:val="33"/>
        <w:spacing w:line="400" w:lineRule="exact"/>
        <w:ind w:firstLine="480" w:firstLineChars="200"/>
        <w:rPr>
          <w:rFonts w:ascii="宋体" w:hAnsi="宋体" w:cs="宋体"/>
          <w:sz w:val="24"/>
          <w:szCs w:val="24"/>
        </w:rPr>
      </w:pPr>
      <w:r>
        <w:rPr>
          <w:rFonts w:hint="eastAsia" w:ascii="宋体" w:hAnsi="宋体" w:cs="宋体"/>
          <w:sz w:val="24"/>
          <w:szCs w:val="24"/>
        </w:rPr>
        <w:t>（一）供应商不符合规定的资格条件的；</w:t>
      </w:r>
    </w:p>
    <w:p w14:paraId="3DAAFD24">
      <w:pPr>
        <w:pStyle w:val="33"/>
        <w:spacing w:line="400" w:lineRule="exact"/>
        <w:ind w:firstLine="480" w:firstLineChars="200"/>
        <w:rPr>
          <w:rFonts w:ascii="宋体" w:hAnsi="宋体" w:cs="宋体"/>
          <w:sz w:val="24"/>
          <w:szCs w:val="24"/>
        </w:rPr>
      </w:pPr>
      <w:r>
        <w:rPr>
          <w:rFonts w:hint="eastAsia" w:ascii="宋体" w:hAnsi="宋体" w:cs="宋体"/>
          <w:sz w:val="24"/>
          <w:szCs w:val="24"/>
        </w:rPr>
        <w:t>（二）供应商未通过实质性响应审查的；</w:t>
      </w:r>
    </w:p>
    <w:p w14:paraId="6C1849FD">
      <w:pPr>
        <w:pStyle w:val="33"/>
        <w:spacing w:line="400" w:lineRule="exact"/>
        <w:ind w:firstLine="480" w:firstLineChars="200"/>
        <w:rPr>
          <w:rFonts w:ascii="宋体" w:hAnsi="宋体" w:cs="宋体"/>
          <w:sz w:val="24"/>
          <w:szCs w:val="24"/>
        </w:rPr>
      </w:pPr>
      <w:r>
        <w:rPr>
          <w:rFonts w:hint="eastAsia" w:ascii="宋体" w:hAnsi="宋体" w:cs="宋体"/>
          <w:sz w:val="24"/>
          <w:szCs w:val="24"/>
        </w:rPr>
        <w:t>（三）供应商的法定代表人（或其授权代表）或自然人未参加谈判的；</w:t>
      </w:r>
    </w:p>
    <w:p w14:paraId="7C88BE63">
      <w:pPr>
        <w:pStyle w:val="33"/>
        <w:spacing w:line="400" w:lineRule="exact"/>
        <w:ind w:firstLine="480" w:firstLineChars="200"/>
        <w:rPr>
          <w:rFonts w:ascii="宋体" w:hAnsi="宋体" w:cs="宋体"/>
          <w:sz w:val="24"/>
          <w:szCs w:val="24"/>
        </w:rPr>
      </w:pPr>
      <w:r>
        <w:rPr>
          <w:rFonts w:hint="eastAsia" w:ascii="宋体" w:hAnsi="宋体" w:cs="宋体"/>
          <w:sz w:val="24"/>
          <w:szCs w:val="24"/>
        </w:rPr>
        <w:t>（四）供应商未在保证金到账截止时间前足额交纳所参与包保证金的；</w:t>
      </w:r>
    </w:p>
    <w:p w14:paraId="65037604">
      <w:pPr>
        <w:pStyle w:val="33"/>
        <w:spacing w:line="400" w:lineRule="exact"/>
        <w:ind w:firstLine="480" w:firstLineChars="200"/>
        <w:rPr>
          <w:rFonts w:ascii="宋体" w:hAnsi="宋体" w:cs="宋体"/>
          <w:sz w:val="24"/>
          <w:szCs w:val="24"/>
        </w:rPr>
      </w:pPr>
      <w:r>
        <w:rPr>
          <w:rFonts w:hint="eastAsia" w:ascii="宋体" w:hAnsi="宋体" w:cs="宋体"/>
          <w:sz w:val="24"/>
          <w:szCs w:val="24"/>
        </w:rPr>
        <w:t>（五）供应商所提交的响应文件未按“第七篇响应文件格式要求”要求签署或盖章的；</w:t>
      </w:r>
    </w:p>
    <w:p w14:paraId="63AA8B0C">
      <w:pPr>
        <w:pStyle w:val="33"/>
        <w:spacing w:line="400" w:lineRule="exact"/>
        <w:ind w:firstLine="480" w:firstLineChars="200"/>
        <w:rPr>
          <w:rFonts w:ascii="宋体" w:hAnsi="宋体" w:cs="宋体"/>
          <w:sz w:val="24"/>
          <w:szCs w:val="24"/>
        </w:rPr>
      </w:pPr>
      <w:r>
        <w:rPr>
          <w:rFonts w:hint="eastAsia" w:ascii="宋体" w:hAnsi="宋体" w:cs="宋体"/>
          <w:sz w:val="24"/>
          <w:szCs w:val="24"/>
        </w:rPr>
        <w:t>（六）供应商的最后报价超过采购预算或最高限价的；</w:t>
      </w:r>
    </w:p>
    <w:p w14:paraId="52827C64">
      <w:pPr>
        <w:pStyle w:val="33"/>
        <w:spacing w:line="400" w:lineRule="exact"/>
        <w:ind w:firstLine="480" w:firstLineChars="200"/>
        <w:rPr>
          <w:rFonts w:ascii="宋体" w:hAnsi="宋体" w:cs="宋体"/>
          <w:sz w:val="24"/>
          <w:szCs w:val="24"/>
        </w:rPr>
      </w:pPr>
      <w:r>
        <w:rPr>
          <w:rFonts w:hint="eastAsia" w:ascii="宋体" w:hAnsi="宋体" w:cs="宋体"/>
          <w:sz w:val="24"/>
          <w:szCs w:val="24"/>
        </w:rPr>
        <w:t>（七）供应商不接受谈判小组修正后的价格的；</w:t>
      </w:r>
    </w:p>
    <w:p w14:paraId="6A79F9EB">
      <w:pPr>
        <w:pStyle w:val="33"/>
        <w:spacing w:line="400" w:lineRule="exact"/>
        <w:ind w:firstLine="480" w:firstLineChars="200"/>
        <w:rPr>
          <w:rFonts w:ascii="宋体" w:hAnsi="宋体" w:cs="宋体"/>
          <w:sz w:val="24"/>
          <w:szCs w:val="24"/>
        </w:rPr>
      </w:pPr>
      <w:r>
        <w:rPr>
          <w:rFonts w:hint="eastAsia" w:ascii="宋体" w:hAnsi="宋体" w:cs="宋体"/>
          <w:sz w:val="24"/>
          <w:szCs w:val="24"/>
        </w:rPr>
        <w:t>（八）单位负责人为同一人或者存在直接控股、管理关系的不同供应商，参加同一合同项（包）谈判的；</w:t>
      </w:r>
    </w:p>
    <w:p w14:paraId="35B9D07C">
      <w:pPr>
        <w:pStyle w:val="33"/>
        <w:spacing w:line="400" w:lineRule="exact"/>
        <w:ind w:firstLine="480" w:firstLineChars="200"/>
        <w:rPr>
          <w:rFonts w:ascii="宋体" w:hAnsi="宋体" w:cs="宋体"/>
          <w:sz w:val="24"/>
          <w:szCs w:val="24"/>
        </w:rPr>
      </w:pPr>
      <w:r>
        <w:rPr>
          <w:rFonts w:hint="eastAsia" w:ascii="宋体" w:hAnsi="宋体" w:cs="宋体"/>
          <w:sz w:val="24"/>
          <w:szCs w:val="24"/>
        </w:rPr>
        <w:t>（九）为采购项目提供整体设计、规范编制或者项目管理、监理、检测等服务的供应商再参加该采购项目的其他采购活动的；</w:t>
      </w:r>
    </w:p>
    <w:p w14:paraId="3D1EF987">
      <w:pPr>
        <w:pStyle w:val="33"/>
        <w:spacing w:line="400" w:lineRule="exact"/>
        <w:ind w:firstLine="480" w:firstLineChars="200"/>
        <w:rPr>
          <w:rFonts w:ascii="宋体" w:hAnsi="宋体" w:cs="宋体"/>
          <w:sz w:val="24"/>
          <w:szCs w:val="24"/>
        </w:rPr>
      </w:pPr>
      <w:r>
        <w:rPr>
          <w:rFonts w:hint="eastAsia" w:ascii="宋体" w:hAnsi="宋体" w:cs="宋体"/>
          <w:sz w:val="24"/>
          <w:szCs w:val="24"/>
        </w:rPr>
        <w:t>（十）供应商响应文件内容有与国家现行法律法规相违背的内容，或附有采购人无法接受条件的；</w:t>
      </w:r>
    </w:p>
    <w:p w14:paraId="051C3583">
      <w:pPr>
        <w:pStyle w:val="33"/>
        <w:spacing w:line="400" w:lineRule="exact"/>
        <w:ind w:firstLine="480" w:firstLineChars="200"/>
        <w:rPr>
          <w:rFonts w:ascii="宋体" w:hAnsi="宋体" w:cs="宋体"/>
          <w:sz w:val="24"/>
          <w:szCs w:val="24"/>
        </w:rPr>
      </w:pPr>
      <w:r>
        <w:rPr>
          <w:rFonts w:hint="eastAsia" w:ascii="宋体" w:hAnsi="宋体" w:cs="宋体"/>
          <w:sz w:val="24"/>
          <w:szCs w:val="24"/>
        </w:rPr>
        <w:t>（十一）法律、法规和竞争性谈判文件规定的其他无效情形。</w:t>
      </w:r>
    </w:p>
    <w:p w14:paraId="0C456A76">
      <w:pPr>
        <w:pStyle w:val="3"/>
        <w:adjustRightInd w:val="0"/>
        <w:snapToGrid w:val="0"/>
        <w:spacing w:before="0" w:after="0" w:line="400" w:lineRule="exact"/>
        <w:ind w:firstLine="482" w:firstLineChars="200"/>
        <w:rPr>
          <w:rFonts w:ascii="宋体" w:hAnsi="宋体" w:cs="宋体"/>
        </w:rPr>
      </w:pPr>
      <w:bookmarkStart w:id="172" w:name="_Toc15674"/>
      <w:r>
        <w:rPr>
          <w:rFonts w:hint="eastAsia" w:ascii="宋体" w:hAnsi="宋体" w:cs="宋体"/>
        </w:rPr>
        <w:t>四、采购终止</w:t>
      </w:r>
      <w:bookmarkEnd w:id="166"/>
      <w:bookmarkEnd w:id="167"/>
      <w:bookmarkEnd w:id="168"/>
      <w:bookmarkEnd w:id="169"/>
      <w:bookmarkEnd w:id="170"/>
      <w:bookmarkEnd w:id="171"/>
      <w:bookmarkEnd w:id="172"/>
    </w:p>
    <w:p w14:paraId="288A0D88">
      <w:pPr>
        <w:snapToGrid w:val="0"/>
        <w:spacing w:line="400" w:lineRule="exact"/>
        <w:ind w:firstLine="480" w:firstLineChars="200"/>
        <w:rPr>
          <w:rFonts w:ascii="宋体" w:hAnsi="宋体" w:cs="宋体"/>
          <w:sz w:val="24"/>
          <w:szCs w:val="24"/>
        </w:rPr>
      </w:pPr>
      <w:r>
        <w:rPr>
          <w:rFonts w:hint="eastAsia" w:ascii="宋体" w:hAnsi="宋体" w:cs="宋体"/>
          <w:sz w:val="24"/>
          <w:szCs w:val="24"/>
        </w:rPr>
        <w:t>出现下列情形之一的，采购人或者采购代理机构应当终止竞争性谈判采购活动，发布项目终止公告并说明原因，重新开展采购活动：</w:t>
      </w:r>
    </w:p>
    <w:p w14:paraId="5CB38A4B">
      <w:pPr>
        <w:snapToGrid w:val="0"/>
        <w:spacing w:line="400" w:lineRule="exact"/>
        <w:ind w:firstLine="480" w:firstLineChars="200"/>
        <w:rPr>
          <w:rFonts w:ascii="宋体" w:hAnsi="宋体" w:cs="宋体"/>
          <w:sz w:val="24"/>
          <w:szCs w:val="24"/>
        </w:rPr>
      </w:pPr>
      <w:r>
        <w:rPr>
          <w:rFonts w:hint="eastAsia" w:ascii="宋体" w:hAnsi="宋体" w:cs="宋体"/>
          <w:sz w:val="24"/>
          <w:szCs w:val="24"/>
        </w:rPr>
        <w:t>（一）因情况变化，不再符合规定的竞争性谈判采购方式适用情形的；</w:t>
      </w:r>
    </w:p>
    <w:p w14:paraId="18FFC0E4">
      <w:pPr>
        <w:snapToGrid w:val="0"/>
        <w:spacing w:line="400" w:lineRule="exact"/>
        <w:ind w:firstLine="480" w:firstLineChars="200"/>
        <w:rPr>
          <w:rFonts w:ascii="宋体" w:hAnsi="宋体" w:cs="宋体"/>
          <w:sz w:val="24"/>
          <w:szCs w:val="24"/>
        </w:rPr>
      </w:pPr>
      <w:r>
        <w:rPr>
          <w:rFonts w:hint="eastAsia" w:ascii="宋体" w:hAnsi="宋体" w:cs="宋体"/>
          <w:sz w:val="24"/>
          <w:szCs w:val="24"/>
        </w:rPr>
        <w:t>（二）出现影响采购公正的违法、违规行为的；</w:t>
      </w:r>
    </w:p>
    <w:p w14:paraId="5E56F718">
      <w:pPr>
        <w:snapToGrid w:val="0"/>
        <w:spacing w:line="400" w:lineRule="exact"/>
        <w:ind w:firstLine="480" w:firstLineChars="200"/>
        <w:rPr>
          <w:rFonts w:ascii="宋体" w:hAnsi="宋体" w:cs="宋体"/>
          <w:sz w:val="24"/>
          <w:szCs w:val="24"/>
        </w:rPr>
      </w:pPr>
      <w:r>
        <w:rPr>
          <w:rFonts w:hint="eastAsia" w:ascii="宋体" w:hAnsi="宋体" w:cs="宋体"/>
          <w:sz w:val="24"/>
          <w:szCs w:val="24"/>
        </w:rPr>
        <w:t>（三）在采购过程中符合竞争要求的供应商或者报价未超过采购预算的供应商不足3家的，但《政府采购非招标采购方式管理办法》第二十七条第二款规定的情形除外。</w:t>
      </w:r>
    </w:p>
    <w:p w14:paraId="0AB0B0E7">
      <w:pPr>
        <w:snapToGrid w:val="0"/>
        <w:spacing w:line="400" w:lineRule="exact"/>
        <w:ind w:firstLine="480" w:firstLineChars="200"/>
        <w:rPr>
          <w:rFonts w:ascii="宋体" w:hAnsi="宋体" w:cs="宋体"/>
          <w:sz w:val="24"/>
          <w:szCs w:val="24"/>
        </w:rPr>
      </w:pPr>
    </w:p>
    <w:p w14:paraId="328736D5">
      <w:pPr>
        <w:snapToGrid w:val="0"/>
        <w:spacing w:line="400" w:lineRule="exact"/>
        <w:ind w:firstLine="480" w:firstLineChars="200"/>
        <w:rPr>
          <w:rFonts w:ascii="宋体" w:hAnsi="宋体" w:cs="宋体"/>
          <w:sz w:val="24"/>
          <w:szCs w:val="24"/>
        </w:rPr>
      </w:pPr>
    </w:p>
    <w:p w14:paraId="08566DFA">
      <w:pPr>
        <w:pStyle w:val="2"/>
        <w:rPr>
          <w:rFonts w:cs="宋体"/>
          <w:bCs/>
        </w:rPr>
      </w:pPr>
      <w:r>
        <w:rPr>
          <w:rFonts w:hint="eastAsia" w:cs="宋体"/>
          <w:sz w:val="24"/>
          <w:szCs w:val="24"/>
        </w:rPr>
        <w:br w:type="page"/>
      </w:r>
      <w:bookmarkStart w:id="173" w:name="_Toc28855"/>
      <w:bookmarkStart w:id="174" w:name="_Toc10768"/>
      <w:bookmarkStart w:id="175" w:name="_Toc65660354"/>
      <w:bookmarkStart w:id="176" w:name="_Toc20055"/>
      <w:bookmarkStart w:id="177" w:name="_Toc17474"/>
      <w:bookmarkStart w:id="178" w:name="_Toc26923"/>
      <w:bookmarkStart w:id="179" w:name="_Toc30347"/>
      <w:r>
        <w:rPr>
          <w:rFonts w:hint="eastAsia" w:cs="宋体"/>
          <w:bCs/>
        </w:rPr>
        <w:t>第五篇  供应商须知</w:t>
      </w:r>
      <w:bookmarkEnd w:id="173"/>
      <w:bookmarkEnd w:id="174"/>
      <w:bookmarkEnd w:id="175"/>
      <w:bookmarkEnd w:id="176"/>
      <w:bookmarkEnd w:id="177"/>
      <w:bookmarkEnd w:id="178"/>
      <w:bookmarkEnd w:id="179"/>
    </w:p>
    <w:p w14:paraId="1A9BC0E1">
      <w:pPr>
        <w:pStyle w:val="3"/>
        <w:adjustRightInd w:val="0"/>
        <w:snapToGrid w:val="0"/>
        <w:spacing w:before="0" w:after="0" w:line="400" w:lineRule="exact"/>
        <w:ind w:firstLine="482" w:firstLineChars="200"/>
        <w:rPr>
          <w:rFonts w:ascii="宋体" w:hAnsi="宋体" w:cs="宋体"/>
        </w:rPr>
      </w:pPr>
      <w:bookmarkStart w:id="180" w:name="_Toc16524"/>
      <w:bookmarkStart w:id="181" w:name="_Toc27031"/>
      <w:bookmarkStart w:id="182" w:name="_Toc12893"/>
      <w:bookmarkStart w:id="183" w:name="_Toc29263"/>
      <w:bookmarkStart w:id="184" w:name="_Toc65660355"/>
      <w:bookmarkStart w:id="185" w:name="_Toc1950"/>
      <w:bookmarkStart w:id="186" w:name="_Toc5290"/>
      <w:r>
        <w:rPr>
          <w:rFonts w:hint="eastAsia" w:ascii="宋体" w:hAnsi="宋体" w:cs="宋体"/>
        </w:rPr>
        <w:t>一、谈判费用</w:t>
      </w:r>
      <w:bookmarkEnd w:id="180"/>
      <w:bookmarkEnd w:id="181"/>
      <w:bookmarkEnd w:id="182"/>
      <w:bookmarkEnd w:id="183"/>
      <w:bookmarkEnd w:id="184"/>
      <w:bookmarkEnd w:id="185"/>
      <w:bookmarkEnd w:id="186"/>
    </w:p>
    <w:p w14:paraId="52E05D55">
      <w:pPr>
        <w:pStyle w:val="147"/>
        <w:spacing w:line="400" w:lineRule="exact"/>
        <w:ind w:firstLine="480" w:firstLineChars="200"/>
        <w:rPr>
          <w:rFonts w:hAnsi="宋体" w:cs="宋体"/>
          <w:sz w:val="24"/>
          <w:szCs w:val="24"/>
        </w:rPr>
      </w:pPr>
      <w:r>
        <w:rPr>
          <w:rFonts w:hint="eastAsia" w:hAnsi="宋体" w:cs="宋体"/>
          <w:sz w:val="24"/>
          <w:szCs w:val="24"/>
        </w:rPr>
        <w:t>参与谈判的供应商应承担其编制响应文件与递交响应文件所涉及的一切费用，不论谈判结果如何，采购人和采购代理机构在任何情况下无义务也无责任承担这些费用。</w:t>
      </w:r>
    </w:p>
    <w:p w14:paraId="7490951B">
      <w:pPr>
        <w:pStyle w:val="3"/>
        <w:adjustRightInd w:val="0"/>
        <w:snapToGrid w:val="0"/>
        <w:spacing w:before="0" w:after="0" w:line="400" w:lineRule="exact"/>
        <w:ind w:firstLine="482" w:firstLineChars="200"/>
        <w:rPr>
          <w:rFonts w:ascii="宋体" w:hAnsi="宋体" w:cs="宋体"/>
        </w:rPr>
      </w:pPr>
      <w:bookmarkStart w:id="187" w:name="_Toc65660356"/>
      <w:bookmarkStart w:id="188" w:name="_Toc11079"/>
      <w:bookmarkStart w:id="189" w:name="_Toc5915"/>
      <w:bookmarkStart w:id="190" w:name="_Toc31739"/>
      <w:bookmarkStart w:id="191" w:name="_Toc30413"/>
      <w:bookmarkStart w:id="192" w:name="_Toc6802"/>
      <w:bookmarkStart w:id="193" w:name="_Toc27136"/>
      <w:r>
        <w:rPr>
          <w:rFonts w:hint="eastAsia" w:ascii="宋体" w:hAnsi="宋体" w:cs="宋体"/>
        </w:rPr>
        <w:t>二、竞争性谈判文件</w:t>
      </w:r>
      <w:bookmarkEnd w:id="187"/>
      <w:bookmarkEnd w:id="188"/>
      <w:bookmarkEnd w:id="189"/>
      <w:bookmarkEnd w:id="190"/>
      <w:bookmarkEnd w:id="191"/>
      <w:bookmarkEnd w:id="192"/>
      <w:bookmarkEnd w:id="193"/>
      <w:r>
        <w:rPr>
          <w:rFonts w:hint="eastAsia" w:ascii="宋体" w:hAnsi="宋体" w:cs="宋体"/>
        </w:rPr>
        <w:tab/>
      </w:r>
    </w:p>
    <w:p w14:paraId="5996E69A">
      <w:pPr>
        <w:pStyle w:val="33"/>
        <w:spacing w:line="400" w:lineRule="exact"/>
        <w:ind w:firstLine="480" w:firstLineChars="200"/>
        <w:rPr>
          <w:rFonts w:ascii="宋体" w:hAnsi="宋体" w:cs="宋体"/>
          <w:sz w:val="24"/>
          <w:szCs w:val="24"/>
        </w:rPr>
      </w:pPr>
      <w:r>
        <w:rPr>
          <w:rFonts w:hint="eastAsia" w:ascii="宋体" w:hAnsi="宋体" w:cs="宋体"/>
          <w:sz w:val="24"/>
          <w:szCs w:val="24"/>
        </w:rPr>
        <w:t>（一）竞争性谈判文件由竞争性谈判邀请书、项目服务需求、项目商务需求、采购程序、评定成交的标准、无效谈判及采购终止、供应商须知、合同草案条款、响应文件格式要求七部分组成。</w:t>
      </w:r>
    </w:p>
    <w:p w14:paraId="14C48378">
      <w:pPr>
        <w:snapToGrid w:val="0"/>
        <w:spacing w:line="400" w:lineRule="exact"/>
        <w:ind w:firstLine="360" w:firstLineChars="15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（二）采购人（或采购代理机构）所作的一切有效的书面通知、修改及补充，都是竞争性谈判文件不可分割的部分。</w:t>
      </w:r>
    </w:p>
    <w:p w14:paraId="6FCE3911">
      <w:pPr>
        <w:snapToGrid w:val="0"/>
        <w:spacing w:line="400" w:lineRule="exact"/>
        <w:ind w:firstLine="360" w:firstLineChars="150"/>
        <w:rPr>
          <w:rFonts w:ascii="宋体" w:hAnsi="宋体" w:cs="宋体"/>
          <w:color w:val="000000" w:themeColor="text1"/>
          <w:sz w:val="24"/>
          <w:szCs w:val="24"/>
        </w:rPr>
      </w:pPr>
      <w:r>
        <w:rPr>
          <w:rFonts w:hint="eastAsia" w:ascii="宋体" w:hAnsi="宋体" w:cs="宋体"/>
          <w:color w:val="000000" w:themeColor="text1"/>
          <w:sz w:val="24"/>
          <w:szCs w:val="24"/>
        </w:rPr>
        <w:t>（三）本竞争性谈判文件中，谈判小组根据与供应商谈判情况可能实质性变动的内容为竞争性谈判文件第二、三、六篇全部内容。</w:t>
      </w:r>
    </w:p>
    <w:p w14:paraId="08DECBF3">
      <w:pPr>
        <w:pStyle w:val="3"/>
        <w:adjustRightInd w:val="0"/>
        <w:snapToGrid w:val="0"/>
        <w:spacing w:before="0" w:after="0" w:line="400" w:lineRule="exact"/>
        <w:ind w:firstLine="482" w:firstLineChars="200"/>
        <w:rPr>
          <w:rFonts w:ascii="宋体" w:hAnsi="宋体" w:cs="宋体"/>
        </w:rPr>
      </w:pPr>
      <w:bookmarkStart w:id="194" w:name="_Toc20568"/>
      <w:bookmarkStart w:id="195" w:name="_Toc3061"/>
      <w:bookmarkStart w:id="196" w:name="_Toc9532"/>
      <w:bookmarkStart w:id="197" w:name="_Toc13961"/>
      <w:bookmarkStart w:id="198" w:name="_Toc29162"/>
      <w:bookmarkStart w:id="199" w:name="_Toc1905"/>
      <w:bookmarkStart w:id="200" w:name="_Toc65660357"/>
      <w:r>
        <w:rPr>
          <w:rFonts w:hint="eastAsia" w:ascii="宋体" w:hAnsi="宋体" w:cs="宋体"/>
        </w:rPr>
        <w:t>三、谈判要求</w:t>
      </w:r>
      <w:bookmarkEnd w:id="194"/>
      <w:bookmarkEnd w:id="195"/>
      <w:bookmarkEnd w:id="196"/>
      <w:bookmarkEnd w:id="197"/>
      <w:bookmarkEnd w:id="198"/>
      <w:bookmarkEnd w:id="199"/>
      <w:bookmarkEnd w:id="200"/>
    </w:p>
    <w:p w14:paraId="1D79D227">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（一）响应文件</w:t>
      </w:r>
    </w:p>
    <w:p w14:paraId="7D37BEA6">
      <w:pPr>
        <w:spacing w:line="400" w:lineRule="exact"/>
        <w:ind w:firstLine="480" w:firstLineChars="200"/>
        <w:rPr>
          <w:rFonts w:ascii="宋体" w:hAnsi="宋体" w:cs="宋体"/>
          <w:sz w:val="24"/>
          <w:szCs w:val="24"/>
        </w:rPr>
      </w:pPr>
      <w:r>
        <w:rPr>
          <w:rFonts w:hint="eastAsia" w:ascii="宋体" w:hAnsi="宋体" w:cs="宋体"/>
          <w:sz w:val="24"/>
          <w:szCs w:val="24"/>
        </w:rPr>
        <w:t>供应商应当按照竞争性谈判文件的要求编制响应文件，并对竞争性谈判文件提出的要求和条件做出实质性响应，响应文件原则上采用软面订本。</w:t>
      </w:r>
    </w:p>
    <w:p w14:paraId="2E04DF52">
      <w:pPr>
        <w:spacing w:line="400" w:lineRule="exact"/>
        <w:ind w:firstLine="480" w:firstLineChars="200"/>
        <w:rPr>
          <w:rFonts w:ascii="宋体" w:hAnsi="宋体" w:cs="宋体"/>
          <w:sz w:val="24"/>
          <w:szCs w:val="24"/>
        </w:rPr>
      </w:pPr>
      <w:r>
        <w:rPr>
          <w:rFonts w:hint="eastAsia" w:ascii="宋体" w:hAnsi="宋体" w:cs="宋体"/>
          <w:sz w:val="24"/>
          <w:szCs w:val="24"/>
        </w:rPr>
        <w:t>1.响应文件组成</w:t>
      </w:r>
    </w:p>
    <w:p w14:paraId="24731A3E">
      <w:pPr>
        <w:spacing w:line="400" w:lineRule="exact"/>
        <w:ind w:firstLine="480" w:firstLineChars="200"/>
        <w:rPr>
          <w:rFonts w:ascii="宋体" w:hAnsi="宋体" w:cs="宋体"/>
          <w:sz w:val="24"/>
          <w:szCs w:val="24"/>
        </w:rPr>
      </w:pPr>
      <w:r>
        <w:rPr>
          <w:rFonts w:hint="eastAsia" w:ascii="宋体" w:hAnsi="宋体" w:cs="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CD47930">
      <w:pPr>
        <w:spacing w:line="400" w:lineRule="exact"/>
        <w:ind w:firstLine="480" w:firstLineChars="200"/>
        <w:rPr>
          <w:rFonts w:ascii="宋体" w:hAnsi="宋体" w:cs="宋体"/>
          <w:sz w:val="24"/>
          <w:szCs w:val="24"/>
        </w:rPr>
      </w:pPr>
      <w:r>
        <w:rPr>
          <w:rFonts w:hint="eastAsia" w:ascii="宋体" w:hAnsi="宋体" w:cs="宋体"/>
          <w:sz w:val="24"/>
          <w:szCs w:val="24"/>
        </w:rPr>
        <w:t>2.联合体</w:t>
      </w:r>
    </w:p>
    <w:p w14:paraId="29EA0081">
      <w:pPr>
        <w:spacing w:line="400" w:lineRule="exact"/>
        <w:ind w:firstLine="480" w:firstLineChars="200"/>
        <w:rPr>
          <w:rFonts w:ascii="宋体" w:hAnsi="宋体" w:cs="宋体"/>
          <w:sz w:val="24"/>
          <w:szCs w:val="24"/>
        </w:rPr>
      </w:pPr>
      <w:r>
        <w:rPr>
          <w:rFonts w:hint="eastAsia" w:ascii="宋体" w:hAnsi="宋体" w:cs="宋体"/>
          <w:sz w:val="24"/>
          <w:szCs w:val="24"/>
        </w:rPr>
        <w:t>本项目不接受联合体参与谈判。</w:t>
      </w:r>
    </w:p>
    <w:p w14:paraId="3CBE9C17">
      <w:pPr>
        <w:spacing w:line="400" w:lineRule="exact"/>
        <w:ind w:firstLine="480" w:firstLineChars="200"/>
        <w:rPr>
          <w:rFonts w:ascii="宋体" w:hAnsi="宋体" w:cs="宋体"/>
          <w:sz w:val="24"/>
          <w:szCs w:val="24"/>
        </w:rPr>
      </w:pPr>
      <w:r>
        <w:rPr>
          <w:rFonts w:hint="eastAsia" w:ascii="宋体" w:hAnsi="宋体" w:cs="宋体"/>
          <w:sz w:val="24"/>
          <w:szCs w:val="24"/>
        </w:rPr>
        <w:t>3.谈判有效期：响应文件及有关承诺文件有效期为提交响应文件截止时间起90天。</w:t>
      </w:r>
    </w:p>
    <w:p w14:paraId="657C2990">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（二）保证金：</w:t>
      </w:r>
    </w:p>
    <w:p w14:paraId="0A32E73D">
      <w:pPr>
        <w:spacing w:line="400" w:lineRule="exact"/>
        <w:ind w:firstLine="480" w:firstLineChars="200"/>
        <w:rPr>
          <w:rFonts w:ascii="宋体" w:hAnsi="宋体" w:cs="宋体"/>
          <w:sz w:val="24"/>
          <w:szCs w:val="24"/>
        </w:rPr>
      </w:pPr>
      <w:r>
        <w:rPr>
          <w:rFonts w:hint="eastAsia" w:ascii="宋体" w:hAnsi="宋体" w:cs="宋体"/>
          <w:sz w:val="24"/>
          <w:szCs w:val="24"/>
        </w:rPr>
        <w:t>1.供应商提交保证金金额和方式详见“</w:t>
      </w:r>
      <w:r>
        <w:rPr>
          <w:rFonts w:hint="eastAsia" w:ascii="宋体" w:hAnsi="宋体" w:cs="宋体"/>
          <w:b/>
          <w:sz w:val="24"/>
          <w:szCs w:val="24"/>
          <w:u w:val="single"/>
        </w:rPr>
        <w:t>第一篇  五、保证金”</w:t>
      </w:r>
      <w:r>
        <w:rPr>
          <w:rFonts w:hint="eastAsia" w:ascii="宋体" w:hAnsi="宋体" w:cs="宋体"/>
          <w:sz w:val="24"/>
          <w:szCs w:val="24"/>
        </w:rPr>
        <w:t>；</w:t>
      </w:r>
    </w:p>
    <w:p w14:paraId="20790C97">
      <w:pPr>
        <w:spacing w:line="400" w:lineRule="exact"/>
        <w:ind w:firstLine="480" w:firstLineChars="200"/>
        <w:rPr>
          <w:rFonts w:ascii="宋体" w:hAnsi="宋体" w:cs="宋体"/>
          <w:sz w:val="24"/>
          <w:szCs w:val="24"/>
        </w:rPr>
      </w:pPr>
      <w:r>
        <w:rPr>
          <w:rFonts w:hint="eastAsia" w:ascii="宋体" w:hAnsi="宋体" w:cs="宋体"/>
          <w:sz w:val="24"/>
          <w:szCs w:val="24"/>
        </w:rPr>
        <w:t>2.发生以下情况之一者，保证金不予退还（提交保证金保函的，采购人有权提出索赔申请，担保方应在接到索赔申请后 3 个工作日内办结）：</w:t>
      </w:r>
    </w:p>
    <w:p w14:paraId="2331B6BB">
      <w:pPr>
        <w:spacing w:line="400" w:lineRule="exact"/>
        <w:ind w:firstLine="480" w:firstLineChars="200"/>
        <w:rPr>
          <w:rFonts w:ascii="宋体" w:hAnsi="宋体" w:cs="宋体"/>
          <w:sz w:val="24"/>
          <w:szCs w:val="24"/>
        </w:rPr>
      </w:pPr>
      <w:r>
        <w:rPr>
          <w:rFonts w:hint="eastAsia" w:ascii="宋体" w:hAnsi="宋体" w:cs="宋体"/>
          <w:sz w:val="24"/>
          <w:szCs w:val="24"/>
        </w:rPr>
        <w:t>2.1供应商在提交响应文件截止时间后撤回响应文件的；</w:t>
      </w:r>
    </w:p>
    <w:p w14:paraId="3B2A2F07">
      <w:pPr>
        <w:spacing w:line="400" w:lineRule="exact"/>
        <w:ind w:firstLine="480" w:firstLineChars="200"/>
        <w:rPr>
          <w:rFonts w:ascii="宋体" w:hAnsi="宋体" w:cs="宋体"/>
          <w:sz w:val="24"/>
          <w:szCs w:val="24"/>
        </w:rPr>
      </w:pPr>
      <w:r>
        <w:rPr>
          <w:rFonts w:hint="eastAsia" w:ascii="宋体" w:hAnsi="宋体" w:cs="宋体"/>
          <w:sz w:val="24"/>
          <w:szCs w:val="24"/>
        </w:rPr>
        <w:t>2.2供应商在响应文件中提供虚假材料的；</w:t>
      </w:r>
    </w:p>
    <w:p w14:paraId="25F247FA">
      <w:pPr>
        <w:spacing w:line="400" w:lineRule="exact"/>
        <w:ind w:firstLine="480" w:firstLineChars="200"/>
        <w:rPr>
          <w:rFonts w:ascii="宋体" w:hAnsi="宋体" w:cs="宋体"/>
          <w:sz w:val="24"/>
          <w:szCs w:val="24"/>
        </w:rPr>
      </w:pPr>
      <w:r>
        <w:rPr>
          <w:rFonts w:hint="eastAsia" w:ascii="宋体" w:hAnsi="宋体" w:cs="宋体"/>
          <w:sz w:val="24"/>
          <w:szCs w:val="24"/>
        </w:rPr>
        <w:t>2.3除因不可抗力或竞争性谈判文件认可的情形以外，成交供应商不与采购人签订合同的；</w:t>
      </w:r>
    </w:p>
    <w:p w14:paraId="33084A6A">
      <w:pPr>
        <w:spacing w:line="400" w:lineRule="exact"/>
        <w:ind w:firstLine="480" w:firstLineChars="200"/>
        <w:rPr>
          <w:rFonts w:ascii="宋体" w:hAnsi="宋体" w:cs="宋体"/>
          <w:sz w:val="24"/>
          <w:szCs w:val="24"/>
        </w:rPr>
      </w:pPr>
      <w:r>
        <w:rPr>
          <w:rFonts w:hint="eastAsia" w:ascii="宋体" w:hAnsi="宋体" w:cs="宋体"/>
          <w:sz w:val="24"/>
          <w:szCs w:val="24"/>
        </w:rPr>
        <w:t>2.4供应商与采购人、其他供应商或者采购代理机构恶意串通的；</w:t>
      </w:r>
    </w:p>
    <w:p w14:paraId="3F087EE8">
      <w:pPr>
        <w:pStyle w:val="33"/>
        <w:spacing w:line="400" w:lineRule="exact"/>
        <w:ind w:firstLine="480" w:firstLineChars="200"/>
        <w:rPr>
          <w:rFonts w:ascii="宋体" w:hAnsi="宋体" w:cs="宋体"/>
          <w:sz w:val="24"/>
          <w:szCs w:val="24"/>
        </w:rPr>
      </w:pPr>
      <w:r>
        <w:rPr>
          <w:rFonts w:hint="eastAsia" w:ascii="宋体" w:hAnsi="宋体" w:cs="宋体"/>
          <w:sz w:val="24"/>
          <w:szCs w:val="24"/>
        </w:rPr>
        <w:t>2.5成交供应商不按规定的时间或拒绝按成交状态签订合同（即不按照采购文件确定的合同文本以及采购标的、规格型号、采购金额、采购数量、服务和商务要求等事项签订政府采购合同的）。</w:t>
      </w:r>
    </w:p>
    <w:p w14:paraId="666A9F22">
      <w:pPr>
        <w:pStyle w:val="33"/>
        <w:spacing w:line="400" w:lineRule="exact"/>
        <w:ind w:firstLine="480" w:firstLineChars="200"/>
        <w:rPr>
          <w:rFonts w:ascii="宋体" w:hAnsi="宋体" w:cs="宋体"/>
          <w:sz w:val="24"/>
          <w:szCs w:val="24"/>
        </w:rPr>
      </w:pPr>
      <w:r>
        <w:rPr>
          <w:rFonts w:hint="eastAsia" w:ascii="宋体" w:hAnsi="宋体" w:cs="宋体"/>
          <w:sz w:val="24"/>
          <w:szCs w:val="24"/>
        </w:rPr>
        <w:t>3.保证金的有效期限需覆盖谈判有效期。</w:t>
      </w:r>
    </w:p>
    <w:p w14:paraId="40984ECF">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（三）修正错误</w:t>
      </w:r>
    </w:p>
    <w:p w14:paraId="137AF852">
      <w:pPr>
        <w:spacing w:line="400" w:lineRule="exact"/>
        <w:ind w:firstLine="480" w:firstLineChars="200"/>
        <w:rPr>
          <w:rFonts w:ascii="宋体" w:hAnsi="宋体" w:cs="宋体"/>
          <w:sz w:val="24"/>
          <w:szCs w:val="24"/>
        </w:rPr>
      </w:pPr>
      <w:r>
        <w:rPr>
          <w:rFonts w:hint="eastAsia" w:ascii="宋体" w:hAnsi="宋体" w:cs="宋体"/>
          <w:sz w:val="24"/>
          <w:szCs w:val="24"/>
        </w:rPr>
        <w:t>若供应商所递交的响应文件或最后报价中的价格出现大写金额和小写金额不一致的错误，以大写金额修正为准。</w:t>
      </w:r>
    </w:p>
    <w:p w14:paraId="51885FB5">
      <w:pPr>
        <w:spacing w:line="400" w:lineRule="exact"/>
        <w:ind w:firstLine="480" w:firstLineChars="200"/>
        <w:rPr>
          <w:rFonts w:ascii="宋体" w:hAnsi="宋体" w:cs="宋体"/>
          <w:sz w:val="24"/>
          <w:szCs w:val="24"/>
        </w:rPr>
      </w:pPr>
      <w:r>
        <w:rPr>
          <w:rFonts w:hint="eastAsia" w:ascii="宋体" w:hAnsi="宋体" w:cs="宋体"/>
          <w:sz w:val="24"/>
          <w:szCs w:val="24"/>
        </w:rPr>
        <w:t>谈判小组按上述修正错误的原则及方法修正供应商的报价，供应商同意并签署确认后，修正后的报价对供应商具有约束作用。如果供应商不接受修正后的价格，将视为无效谈判。</w:t>
      </w:r>
    </w:p>
    <w:p w14:paraId="568D2BBA">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（四）提交响应文件的份数和签署</w:t>
      </w:r>
    </w:p>
    <w:p w14:paraId="182150F7">
      <w:pPr>
        <w:snapToGrid w:val="0"/>
        <w:spacing w:line="400" w:lineRule="exact"/>
        <w:ind w:firstLine="480" w:firstLineChars="200"/>
        <w:rPr>
          <w:rFonts w:ascii="宋体" w:hAnsi="宋体" w:cs="宋体"/>
          <w:sz w:val="24"/>
          <w:szCs w:val="24"/>
        </w:rPr>
      </w:pPr>
      <w:r>
        <w:rPr>
          <w:rFonts w:hint="eastAsia" w:ascii="宋体" w:hAnsi="宋体" w:cs="宋体"/>
          <w:sz w:val="24"/>
          <w:szCs w:val="24"/>
        </w:rPr>
        <w:t>1.响应文件一式四份，其中正本一份，副本二份，电子文档一份（电子文档内容应与纸质文件正本一致，如不一致以纸质文件正本为准。推荐采用U盘为电子文档载体）；副本可为正本的复印件，应与正本一致，如出现不一致情况以正本为准。</w:t>
      </w:r>
    </w:p>
    <w:p w14:paraId="394FEF66">
      <w:pPr>
        <w:snapToGrid w:val="0"/>
        <w:spacing w:line="400" w:lineRule="exact"/>
        <w:ind w:firstLine="480" w:firstLineChars="200"/>
        <w:rPr>
          <w:rFonts w:ascii="宋体" w:hAnsi="宋体" w:cs="宋体"/>
          <w:sz w:val="24"/>
        </w:rPr>
      </w:pPr>
      <w:r>
        <w:rPr>
          <w:rFonts w:hint="eastAsia" w:ascii="宋体" w:hAnsi="宋体" w:cs="宋体"/>
          <w:sz w:val="24"/>
          <w:szCs w:val="24"/>
        </w:rPr>
        <w:t>2.</w:t>
      </w:r>
      <w:r>
        <w:rPr>
          <w:rFonts w:hint="eastAsia" w:ascii="宋体" w:hAnsi="宋体" w:cs="宋体"/>
          <w:sz w:val="24"/>
        </w:rPr>
        <w:t>在响应文件正本中，竞争性谈判文件第七篇响应文件格式中规定签署、盖章的地方必须按其规定签署、盖章。</w:t>
      </w:r>
    </w:p>
    <w:p w14:paraId="0C1D77C0">
      <w:pPr>
        <w:snapToGrid w:val="0"/>
        <w:spacing w:line="400" w:lineRule="exact"/>
        <w:ind w:firstLine="480" w:firstLineChars="200"/>
        <w:rPr>
          <w:rFonts w:ascii="宋体" w:hAnsi="宋体" w:cs="宋体"/>
          <w:sz w:val="24"/>
        </w:rPr>
      </w:pPr>
      <w:r>
        <w:rPr>
          <w:rFonts w:hint="eastAsia" w:ascii="宋体" w:hAnsi="宋体" w:cs="宋体"/>
          <w:sz w:val="24"/>
        </w:rPr>
        <w:t>3.若供应商对响应文件的错处作必要修改，则应在修改处加盖供应商公章或由法定代表人（或其授权代表）或自然人</w:t>
      </w:r>
      <w:r>
        <w:rPr>
          <w:rFonts w:hint="eastAsia" w:ascii="宋体" w:hAnsi="宋体" w:cs="宋体"/>
          <w:sz w:val="24"/>
          <w:szCs w:val="24"/>
        </w:rPr>
        <w:t>（供应商为自然人）签署</w:t>
      </w:r>
      <w:r>
        <w:rPr>
          <w:rFonts w:hint="eastAsia" w:ascii="宋体" w:hAnsi="宋体" w:cs="宋体"/>
          <w:sz w:val="24"/>
        </w:rPr>
        <w:t>确认。</w:t>
      </w:r>
    </w:p>
    <w:p w14:paraId="3D4A789C">
      <w:pPr>
        <w:snapToGrid w:val="0"/>
        <w:spacing w:line="400" w:lineRule="exact"/>
        <w:ind w:firstLine="480" w:firstLineChars="200"/>
        <w:rPr>
          <w:rFonts w:ascii="宋体" w:hAnsi="宋体" w:cs="宋体"/>
          <w:sz w:val="24"/>
        </w:rPr>
      </w:pPr>
      <w:r>
        <w:rPr>
          <w:rFonts w:hint="eastAsia" w:ascii="宋体" w:hAnsi="宋体" w:cs="宋体"/>
          <w:sz w:val="24"/>
        </w:rPr>
        <w:t>4.电报、电话、传真形式的响应文件概不接受。</w:t>
      </w:r>
    </w:p>
    <w:p w14:paraId="08452E4D">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（五）响应文件的递交</w:t>
      </w:r>
    </w:p>
    <w:p w14:paraId="3FDD84D5">
      <w:pPr>
        <w:pStyle w:val="30"/>
        <w:spacing w:line="400" w:lineRule="exact"/>
        <w:ind w:firstLine="480" w:firstLineChars="200"/>
        <w:rPr>
          <w:rFonts w:hAnsi="宋体" w:cs="宋体"/>
          <w:sz w:val="24"/>
        </w:rPr>
      </w:pPr>
      <w:r>
        <w:rPr>
          <w:rFonts w:hint="eastAsia" w:hAnsi="宋体" w:cs="宋体"/>
          <w:sz w:val="24"/>
          <w:szCs w:val="24"/>
        </w:rPr>
        <w:t>响应文件的正本、副本以及电子文档均应密封送达响应文件递交地点，应在封套上注明谈判项目名称、供应商名称。若正本、副本以及电子文档分别进行密封的，还应在封套上注明“正本”、“副本”、“电子文档”字样。</w:t>
      </w:r>
    </w:p>
    <w:p w14:paraId="4E0599EA">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（六）响应文件语言：简体中文</w:t>
      </w:r>
    </w:p>
    <w:p w14:paraId="5B851EED">
      <w:pPr>
        <w:snapToGrid w:val="0"/>
        <w:spacing w:line="400" w:lineRule="exact"/>
        <w:ind w:firstLine="360" w:firstLineChars="150"/>
        <w:outlineLvl w:val="2"/>
        <w:rPr>
          <w:rFonts w:ascii="宋体" w:hAnsi="宋体" w:cs="宋体"/>
          <w:sz w:val="24"/>
          <w:szCs w:val="24"/>
        </w:rPr>
      </w:pPr>
      <w:r>
        <w:rPr>
          <w:rFonts w:hint="eastAsia" w:ascii="宋体" w:hAnsi="宋体" w:cs="宋体"/>
          <w:sz w:val="24"/>
          <w:szCs w:val="24"/>
        </w:rPr>
        <w:t>（七）供应商参与人员</w:t>
      </w:r>
    </w:p>
    <w:p w14:paraId="06061993">
      <w:pPr>
        <w:pStyle w:val="30"/>
        <w:spacing w:line="400" w:lineRule="exact"/>
        <w:ind w:firstLine="480" w:firstLineChars="200"/>
        <w:rPr>
          <w:rFonts w:hAnsi="宋体" w:cs="宋体"/>
          <w:sz w:val="24"/>
          <w:szCs w:val="24"/>
        </w:rPr>
      </w:pPr>
      <w:bookmarkStart w:id="201" w:name="_Toc3418"/>
      <w:bookmarkStart w:id="202" w:name="_Toc65660358"/>
      <w:bookmarkStart w:id="203" w:name="_Toc21544"/>
      <w:bookmarkStart w:id="204" w:name="_Toc6242"/>
      <w:bookmarkStart w:id="205" w:name="_Toc14702"/>
      <w:bookmarkStart w:id="206" w:name="_Toc24673"/>
      <w:r>
        <w:rPr>
          <w:rFonts w:hint="eastAsia" w:hAnsi="宋体" w:cs="宋体"/>
          <w:sz w:val="24"/>
          <w:szCs w:val="24"/>
        </w:rPr>
        <w:t>各供应商应当派1-2名代表参与谈判。供应商为法人的，至少1人应为法定代表人（或其授权代表）；供应商为其他组织的，至少1人应为其主要负责人（或者代理人）；供应商为自然人的，至少1人为其本人（或者代理人）。</w:t>
      </w:r>
    </w:p>
    <w:p w14:paraId="5FF231A6">
      <w:pPr>
        <w:pStyle w:val="3"/>
        <w:adjustRightInd w:val="0"/>
        <w:snapToGrid w:val="0"/>
        <w:spacing w:before="0" w:after="0" w:line="400" w:lineRule="exact"/>
        <w:ind w:firstLine="482" w:firstLineChars="200"/>
        <w:rPr>
          <w:rFonts w:ascii="宋体" w:hAnsi="宋体" w:cs="宋体"/>
        </w:rPr>
      </w:pPr>
      <w:bookmarkStart w:id="207" w:name="_Toc13032"/>
      <w:r>
        <w:rPr>
          <w:rFonts w:hint="eastAsia" w:ascii="宋体" w:hAnsi="宋体" w:cs="宋体"/>
        </w:rPr>
        <w:t>四、成交供应商的确定和变更</w:t>
      </w:r>
      <w:bookmarkEnd w:id="201"/>
      <w:bookmarkEnd w:id="202"/>
      <w:bookmarkEnd w:id="203"/>
      <w:bookmarkEnd w:id="204"/>
      <w:bookmarkEnd w:id="205"/>
      <w:bookmarkEnd w:id="206"/>
      <w:bookmarkEnd w:id="207"/>
    </w:p>
    <w:p w14:paraId="785C806A">
      <w:pPr>
        <w:pStyle w:val="30"/>
        <w:spacing w:line="400" w:lineRule="exact"/>
        <w:ind w:firstLine="480" w:firstLineChars="200"/>
        <w:rPr>
          <w:rFonts w:hAnsi="宋体" w:cs="宋体"/>
          <w:sz w:val="24"/>
          <w:szCs w:val="24"/>
        </w:rPr>
      </w:pPr>
      <w:bookmarkStart w:id="208" w:name="_Toc65660359"/>
      <w:bookmarkStart w:id="209" w:name="_Toc13588"/>
      <w:bookmarkStart w:id="210" w:name="_Toc29821"/>
      <w:bookmarkStart w:id="211" w:name="_Toc16170"/>
      <w:bookmarkStart w:id="212" w:name="_Toc1092"/>
      <w:bookmarkStart w:id="213" w:name="_Toc23954"/>
      <w:r>
        <w:rPr>
          <w:rFonts w:hint="eastAsia" w:hAnsi="宋体" w:cs="宋体"/>
          <w:sz w:val="24"/>
          <w:szCs w:val="24"/>
        </w:rPr>
        <w:t>（一）采购代理机构应当自评审结束后 2 个工作日内将评审报告及有关资料送交采购人。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采购人在确认采购结果过程中，应当对成交候选供应商资格条件和其成交产品实质性要求等内容进行核实，不得确认不符合要求的成交候选供应商为成交供应商。</w:t>
      </w:r>
    </w:p>
    <w:p w14:paraId="1EBC4F8B">
      <w:pPr>
        <w:pStyle w:val="30"/>
        <w:spacing w:line="400" w:lineRule="exact"/>
        <w:ind w:firstLine="480" w:firstLineChars="200"/>
        <w:rPr>
          <w:rFonts w:hAnsi="宋体" w:cs="宋体"/>
          <w:sz w:val="24"/>
          <w:szCs w:val="24"/>
        </w:rPr>
      </w:pPr>
      <w:r>
        <w:rPr>
          <w:rFonts w:hint="eastAsia" w:hAnsi="宋体" w:cs="宋体"/>
          <w:sz w:val="24"/>
          <w:szCs w:val="24"/>
        </w:rPr>
        <w:t>（二）采购人不确定排序前一位成交候选供应商为成交供应商的，应当将不确定的理由书面告知该成交候选供应商。</w:t>
      </w:r>
    </w:p>
    <w:p w14:paraId="70D0739C">
      <w:pPr>
        <w:pStyle w:val="30"/>
        <w:spacing w:line="400" w:lineRule="exact"/>
        <w:ind w:firstLine="480" w:firstLineChars="200"/>
        <w:rPr>
          <w:rFonts w:hAnsi="宋体" w:cs="宋体"/>
          <w:sz w:val="24"/>
          <w:szCs w:val="24"/>
        </w:rPr>
      </w:pPr>
      <w:r>
        <w:rPr>
          <w:rFonts w:hint="eastAsia" w:hAnsi="宋体" w:cs="宋体"/>
          <w:sz w:val="24"/>
          <w:szCs w:val="24"/>
        </w:rPr>
        <w:t>（三）成交供应商的变更</w:t>
      </w:r>
    </w:p>
    <w:p w14:paraId="4D1F0756">
      <w:pPr>
        <w:pStyle w:val="30"/>
        <w:spacing w:line="400" w:lineRule="exact"/>
        <w:ind w:firstLine="480" w:firstLineChars="200"/>
        <w:rPr>
          <w:rFonts w:hAnsi="宋体" w:cs="宋体"/>
          <w:sz w:val="24"/>
          <w:szCs w:val="24"/>
        </w:rPr>
      </w:pPr>
      <w:r>
        <w:rPr>
          <w:rFonts w:hint="eastAsia" w:hAnsi="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32D54201">
      <w:pPr>
        <w:pStyle w:val="30"/>
        <w:spacing w:line="400" w:lineRule="exact"/>
        <w:ind w:firstLine="480" w:firstLineChars="200"/>
        <w:rPr>
          <w:rFonts w:hAnsi="宋体" w:cs="宋体"/>
          <w:sz w:val="24"/>
          <w:szCs w:val="24"/>
        </w:rPr>
      </w:pPr>
      <w:r>
        <w:rPr>
          <w:rFonts w:hint="eastAsia" w:hAnsi="宋体" w:cs="宋体"/>
          <w:sz w:val="24"/>
          <w:szCs w:val="24"/>
        </w:rPr>
        <w:t>2.成交供应商无充分理由放弃成交的，采购人将向同级财政部门报告，财政部门将根据相关法律法规的规定进行处理。</w:t>
      </w:r>
    </w:p>
    <w:p w14:paraId="29CD5CC4">
      <w:pPr>
        <w:pStyle w:val="3"/>
        <w:adjustRightInd w:val="0"/>
        <w:snapToGrid w:val="0"/>
        <w:spacing w:before="0" w:after="0" w:line="400" w:lineRule="exact"/>
        <w:ind w:firstLine="482" w:firstLineChars="200"/>
        <w:rPr>
          <w:rFonts w:ascii="宋体" w:hAnsi="宋体" w:cs="宋体"/>
        </w:rPr>
      </w:pPr>
      <w:bookmarkStart w:id="214" w:name="_Toc21084"/>
      <w:r>
        <w:rPr>
          <w:rFonts w:hint="eastAsia" w:ascii="宋体" w:hAnsi="宋体" w:cs="宋体"/>
        </w:rPr>
        <w:t>五、成交通知</w:t>
      </w:r>
      <w:bookmarkEnd w:id="208"/>
      <w:bookmarkEnd w:id="209"/>
      <w:bookmarkEnd w:id="210"/>
      <w:bookmarkEnd w:id="211"/>
      <w:bookmarkEnd w:id="212"/>
      <w:bookmarkEnd w:id="213"/>
      <w:bookmarkEnd w:id="214"/>
    </w:p>
    <w:p w14:paraId="2016AD6C">
      <w:pPr>
        <w:snapToGrid w:val="0"/>
        <w:spacing w:line="380" w:lineRule="exact"/>
        <w:ind w:firstLine="360" w:firstLineChars="15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一</w:t>
      </w:r>
      <w:r>
        <w:rPr>
          <w:rFonts w:hint="eastAsia" w:ascii="宋体" w:hAnsi="宋体" w:cs="宋体"/>
          <w:sz w:val="24"/>
          <w:szCs w:val="24"/>
          <w:lang w:eastAsia="zh-CN"/>
        </w:rPr>
        <w:t>）</w:t>
      </w:r>
      <w:r>
        <w:rPr>
          <w:rFonts w:hint="eastAsia" w:ascii="宋体" w:hAnsi="宋体" w:cs="宋体"/>
          <w:sz w:val="24"/>
          <w:szCs w:val="24"/>
        </w:rPr>
        <w:t>成交供应商确定后，将在重庆市黔江区民族职业教育中心官网（http://www.qjzjzx.cn）上发布成交结果预公示。</w:t>
      </w:r>
    </w:p>
    <w:p w14:paraId="5EF71CE5">
      <w:pPr>
        <w:snapToGrid w:val="0"/>
        <w:spacing w:line="380" w:lineRule="exact"/>
        <w:ind w:firstLine="360" w:firstLineChars="150"/>
        <w:rPr>
          <w:rFonts w:ascii="宋体" w:hAnsi="宋体" w:cs="宋体"/>
          <w:sz w:val="24"/>
          <w:szCs w:val="24"/>
        </w:rPr>
      </w:pPr>
      <w:r>
        <w:rPr>
          <w:rFonts w:hint="eastAsia" w:ascii="宋体" w:hAnsi="宋体" w:cs="宋体"/>
          <w:sz w:val="24"/>
          <w:szCs w:val="24"/>
        </w:rPr>
        <w:t>（二）</w:t>
      </w:r>
      <w:r>
        <w:rPr>
          <w:rFonts w:hint="eastAsia" w:ascii="宋体" w:hAnsi="宋体"/>
          <w:sz w:val="24"/>
          <w:szCs w:val="24"/>
        </w:rPr>
        <w:t>结果公告公示期满后，中标人可自行在重庆黔江区民族职业教育中心网站下载打印,或到采购人处领取《成交通知书》。5个工作后视为中标人已领取《成交通知书》并发生法律效力。《成交通知书》一经发出即发生法律效力。</w:t>
      </w:r>
    </w:p>
    <w:p w14:paraId="738811A3">
      <w:pPr>
        <w:spacing w:line="400" w:lineRule="exact"/>
        <w:ind w:right="12" w:firstLine="480"/>
        <w:rPr>
          <w:rFonts w:ascii="宋体" w:hAnsi="宋体" w:cs="宋体"/>
          <w:sz w:val="24"/>
        </w:rPr>
      </w:pPr>
      <w:r>
        <w:rPr>
          <w:rFonts w:hint="eastAsia" w:ascii="宋体" w:hAnsi="宋体" w:cs="宋体"/>
          <w:sz w:val="24"/>
        </w:rPr>
        <w:t>（三）《成交通知书》将作为签订合同的依据。</w:t>
      </w:r>
    </w:p>
    <w:p w14:paraId="6F576220">
      <w:pPr>
        <w:pStyle w:val="3"/>
        <w:adjustRightInd w:val="0"/>
        <w:snapToGrid w:val="0"/>
        <w:spacing w:before="0" w:after="0" w:line="400" w:lineRule="exact"/>
        <w:ind w:firstLine="482" w:firstLineChars="200"/>
        <w:rPr>
          <w:rFonts w:ascii="宋体" w:hAnsi="宋体" w:cs="宋体"/>
        </w:rPr>
      </w:pPr>
      <w:bookmarkStart w:id="215" w:name="_Toc65660360"/>
      <w:bookmarkStart w:id="216" w:name="_Toc10568"/>
      <w:bookmarkStart w:id="217" w:name="_Toc14977"/>
      <w:bookmarkStart w:id="218" w:name="_Toc1010"/>
      <w:bookmarkStart w:id="219" w:name="_Toc30909"/>
      <w:r>
        <w:rPr>
          <w:rFonts w:hint="eastAsia" w:ascii="宋体" w:hAnsi="宋体" w:cs="宋体"/>
        </w:rPr>
        <w:t>六、关于询问、质疑和投诉</w:t>
      </w:r>
      <w:bookmarkEnd w:id="215"/>
      <w:bookmarkEnd w:id="216"/>
      <w:bookmarkEnd w:id="217"/>
      <w:bookmarkEnd w:id="218"/>
      <w:bookmarkEnd w:id="219"/>
    </w:p>
    <w:p w14:paraId="5FA7C24B">
      <w:pPr>
        <w:spacing w:line="400" w:lineRule="exact"/>
        <w:ind w:right="12" w:firstLine="480"/>
        <w:rPr>
          <w:rFonts w:ascii="宋体" w:hAnsi="宋体" w:cs="宋体"/>
          <w:sz w:val="24"/>
        </w:rPr>
      </w:pPr>
      <w:r>
        <w:rPr>
          <w:rFonts w:hint="eastAsia" w:ascii="宋体" w:hAnsi="宋体" w:cs="宋体"/>
          <w:sz w:val="24"/>
        </w:rPr>
        <w:t>（一）询问</w:t>
      </w:r>
    </w:p>
    <w:p w14:paraId="53C7CBAE">
      <w:pPr>
        <w:spacing w:line="400" w:lineRule="exact"/>
        <w:ind w:right="12" w:firstLine="480"/>
        <w:rPr>
          <w:rFonts w:ascii="宋体" w:hAnsi="宋体" w:cs="宋体"/>
          <w:sz w:val="24"/>
        </w:rPr>
      </w:pPr>
      <w:r>
        <w:rPr>
          <w:rFonts w:hint="eastAsia" w:ascii="宋体" w:hAnsi="宋体" w:cs="宋体"/>
          <w:sz w:val="24"/>
        </w:rPr>
        <w:t>采购人或者采购代理机构应当在3个工作日内对供应商依法提出的询问作出答复。供应商询问可以是口头或书面形式。</w:t>
      </w:r>
    </w:p>
    <w:p w14:paraId="2A8DA266">
      <w:pPr>
        <w:spacing w:line="400" w:lineRule="exact"/>
        <w:ind w:firstLine="360" w:firstLineChars="150"/>
        <w:outlineLvl w:val="2"/>
        <w:rPr>
          <w:rFonts w:ascii="宋体" w:hAnsi="宋体" w:cs="宋体"/>
          <w:sz w:val="24"/>
          <w:szCs w:val="24"/>
        </w:rPr>
      </w:pPr>
      <w:r>
        <w:rPr>
          <w:rFonts w:hint="eastAsia" w:ascii="宋体" w:hAnsi="宋体" w:cs="宋体"/>
          <w:sz w:val="24"/>
          <w:szCs w:val="24"/>
        </w:rPr>
        <w:t xml:space="preserve"> （二）质疑</w:t>
      </w:r>
    </w:p>
    <w:p w14:paraId="3B28832B">
      <w:pPr>
        <w:spacing w:line="400" w:lineRule="exact"/>
        <w:ind w:right="12" w:firstLine="480"/>
        <w:rPr>
          <w:rFonts w:ascii="宋体" w:hAnsi="宋体" w:cs="宋体"/>
          <w:sz w:val="24"/>
        </w:rPr>
      </w:pPr>
      <w:r>
        <w:rPr>
          <w:rFonts w:hint="eastAsia" w:ascii="宋体" w:hAnsi="宋体" w:cs="宋体"/>
          <w:sz w:val="24"/>
        </w:rPr>
        <w:t>供应商认为采购文件、采购过程和成交结果使自己的权益收到伤害的，可向采购人或采购代理机构以书面形式提出质疑。</w:t>
      </w:r>
    </w:p>
    <w:p w14:paraId="341232C4">
      <w:pPr>
        <w:spacing w:line="400" w:lineRule="exact"/>
        <w:ind w:right="12" w:firstLine="480"/>
        <w:rPr>
          <w:rFonts w:ascii="宋体" w:hAnsi="宋体" w:cs="宋体"/>
          <w:sz w:val="24"/>
        </w:rPr>
      </w:pPr>
      <w:r>
        <w:rPr>
          <w:rFonts w:hint="eastAsia" w:ascii="宋体" w:hAnsi="宋体" w:cs="宋体"/>
          <w:sz w:val="24"/>
        </w:rPr>
        <w:t xml:space="preserve">提出质疑的应当是参与所质疑项目采购活动的供应商。 </w:t>
      </w:r>
    </w:p>
    <w:p w14:paraId="36B2788B">
      <w:pPr>
        <w:spacing w:line="400" w:lineRule="exact"/>
        <w:ind w:right="12" w:firstLine="480"/>
        <w:rPr>
          <w:rFonts w:ascii="宋体" w:hAnsi="宋体" w:cs="宋体"/>
          <w:sz w:val="24"/>
        </w:rPr>
      </w:pPr>
      <w:r>
        <w:rPr>
          <w:rFonts w:hint="eastAsia" w:ascii="宋体" w:hAnsi="宋体" w:cs="宋体"/>
          <w:sz w:val="24"/>
        </w:rPr>
        <w:t>1.质疑时限、内容</w:t>
      </w:r>
    </w:p>
    <w:p w14:paraId="2B29E0B8">
      <w:pPr>
        <w:spacing w:line="400" w:lineRule="exact"/>
        <w:ind w:right="12" w:firstLine="480"/>
        <w:rPr>
          <w:rFonts w:ascii="宋体" w:hAnsi="宋体" w:cs="宋体"/>
          <w:sz w:val="24"/>
        </w:rPr>
      </w:pPr>
      <w:r>
        <w:rPr>
          <w:rFonts w:hint="eastAsia" w:ascii="宋体" w:hAnsi="宋体" w:cs="宋体"/>
          <w:sz w:val="24"/>
        </w:rPr>
        <w:t>1.1供应商认为采购文件、采购过程、成交结果使自己的权益受到损害的，可以在知道或者应知其权益受到损害之日起7个工作日内，以书面形式向采购人、采购代理机构提出质疑。</w:t>
      </w:r>
    </w:p>
    <w:p w14:paraId="6D8F1822">
      <w:pPr>
        <w:spacing w:line="400" w:lineRule="exact"/>
        <w:ind w:right="12" w:firstLine="480"/>
        <w:rPr>
          <w:rFonts w:ascii="宋体" w:hAnsi="宋体" w:cs="宋体"/>
          <w:sz w:val="24"/>
        </w:rPr>
      </w:pPr>
      <w:r>
        <w:rPr>
          <w:rFonts w:hint="eastAsia" w:ascii="宋体" w:hAnsi="宋体" w:cs="宋体"/>
          <w:sz w:val="24"/>
        </w:rPr>
        <w:t>1.2供应商提出质疑应当提交质疑函和必要的证明材料，质疑函应当包括下列内容：</w:t>
      </w:r>
    </w:p>
    <w:p w14:paraId="389155DD">
      <w:pPr>
        <w:spacing w:line="400" w:lineRule="exact"/>
        <w:ind w:right="12" w:firstLine="480"/>
        <w:rPr>
          <w:rFonts w:ascii="宋体" w:hAnsi="宋体" w:cs="宋体"/>
          <w:sz w:val="24"/>
        </w:rPr>
      </w:pPr>
      <w:r>
        <w:rPr>
          <w:rFonts w:hint="eastAsia" w:ascii="宋体" w:hAnsi="宋体" w:cs="宋体"/>
          <w:sz w:val="24"/>
        </w:rPr>
        <w:t>1.2.1供应商的姓名或者名称、地址、邮编、联系人及联系电话；</w:t>
      </w:r>
    </w:p>
    <w:p w14:paraId="0AA0FBAB">
      <w:pPr>
        <w:spacing w:line="400" w:lineRule="exact"/>
        <w:ind w:right="12" w:firstLine="480"/>
        <w:rPr>
          <w:rFonts w:ascii="宋体" w:hAnsi="宋体" w:cs="宋体"/>
          <w:sz w:val="24"/>
        </w:rPr>
      </w:pPr>
      <w:r>
        <w:rPr>
          <w:rFonts w:hint="eastAsia" w:ascii="宋体" w:hAnsi="宋体" w:cs="宋体"/>
          <w:sz w:val="24"/>
        </w:rPr>
        <w:t>1.2.2</w:t>
      </w:r>
      <w:r>
        <w:rPr>
          <w:rFonts w:hint="eastAsia" w:ascii="宋体" w:hAnsi="宋体" w:cs="宋体"/>
          <w:sz w:val="24"/>
          <w:szCs w:val="24"/>
        </w:rPr>
        <w:t>质疑项目的项目名称、项目号以及采购执行编号</w:t>
      </w:r>
      <w:r>
        <w:rPr>
          <w:rFonts w:hint="eastAsia" w:ascii="宋体" w:hAnsi="宋体" w:cs="宋体"/>
          <w:sz w:val="24"/>
        </w:rPr>
        <w:t>；</w:t>
      </w:r>
    </w:p>
    <w:p w14:paraId="0CA6625C">
      <w:pPr>
        <w:spacing w:line="400" w:lineRule="exact"/>
        <w:ind w:right="12" w:firstLine="480"/>
        <w:rPr>
          <w:rFonts w:ascii="宋体" w:hAnsi="宋体" w:cs="宋体"/>
          <w:sz w:val="24"/>
        </w:rPr>
      </w:pPr>
      <w:r>
        <w:rPr>
          <w:rFonts w:hint="eastAsia" w:ascii="宋体" w:hAnsi="宋体" w:cs="宋体"/>
          <w:sz w:val="24"/>
        </w:rPr>
        <w:t>1.2.3具体、明确的质疑事项和与质疑事项相关的请求；</w:t>
      </w:r>
    </w:p>
    <w:p w14:paraId="0C7D407B">
      <w:pPr>
        <w:spacing w:line="400" w:lineRule="exact"/>
        <w:ind w:right="12" w:firstLine="480"/>
        <w:rPr>
          <w:rFonts w:ascii="宋体" w:hAnsi="宋体" w:cs="宋体"/>
          <w:sz w:val="24"/>
        </w:rPr>
      </w:pPr>
      <w:r>
        <w:rPr>
          <w:rFonts w:hint="eastAsia" w:ascii="宋体" w:hAnsi="宋体" w:cs="宋体"/>
          <w:sz w:val="24"/>
        </w:rPr>
        <w:t>1.2.4事实依据；</w:t>
      </w:r>
    </w:p>
    <w:p w14:paraId="329CB2D9">
      <w:pPr>
        <w:spacing w:line="400" w:lineRule="exact"/>
        <w:ind w:right="12" w:firstLine="480"/>
        <w:rPr>
          <w:rFonts w:ascii="宋体" w:hAnsi="宋体" w:cs="宋体"/>
          <w:sz w:val="24"/>
        </w:rPr>
      </w:pPr>
      <w:r>
        <w:rPr>
          <w:rFonts w:hint="eastAsia" w:ascii="宋体" w:hAnsi="宋体" w:cs="宋体"/>
          <w:sz w:val="24"/>
        </w:rPr>
        <w:t>1.2.5必要的法律依据；</w:t>
      </w:r>
    </w:p>
    <w:p w14:paraId="5772F29E">
      <w:pPr>
        <w:spacing w:line="400" w:lineRule="exact"/>
        <w:ind w:right="12" w:firstLine="480"/>
        <w:rPr>
          <w:rFonts w:ascii="宋体" w:hAnsi="宋体" w:cs="宋体"/>
          <w:sz w:val="24"/>
        </w:rPr>
      </w:pPr>
      <w:r>
        <w:rPr>
          <w:rFonts w:hint="eastAsia" w:ascii="宋体" w:hAnsi="宋体" w:cs="宋体"/>
          <w:sz w:val="24"/>
        </w:rPr>
        <w:t>1.2.6提出质疑的日期；</w:t>
      </w:r>
    </w:p>
    <w:p w14:paraId="367DB228">
      <w:pPr>
        <w:spacing w:line="400" w:lineRule="exact"/>
        <w:ind w:right="12" w:firstLine="480"/>
        <w:rPr>
          <w:rFonts w:ascii="宋体" w:hAnsi="宋体" w:cs="宋体"/>
          <w:sz w:val="24"/>
        </w:rPr>
      </w:pPr>
      <w:r>
        <w:rPr>
          <w:rFonts w:hint="eastAsia" w:ascii="宋体" w:hAnsi="宋体" w:cs="宋体"/>
          <w:sz w:val="24"/>
        </w:rPr>
        <w:t>1.2.7营业执照（或事业单位法人证书，或个体工商户营业执照或有效的自然人身份证明）复印件；</w:t>
      </w:r>
    </w:p>
    <w:p w14:paraId="2DD6303B">
      <w:pPr>
        <w:spacing w:line="400" w:lineRule="exact"/>
        <w:ind w:right="12" w:firstLine="480"/>
        <w:rPr>
          <w:rFonts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14:paraId="6FB3EE14">
      <w:pPr>
        <w:spacing w:line="400" w:lineRule="exact"/>
        <w:ind w:right="12" w:firstLine="480"/>
        <w:rPr>
          <w:rFonts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14:paraId="5DC1B59A">
      <w:pPr>
        <w:spacing w:line="400" w:lineRule="exact"/>
        <w:ind w:right="12" w:firstLine="480"/>
        <w:rPr>
          <w:rFonts w:ascii="宋体" w:hAnsi="宋体" w:cs="宋体"/>
          <w:sz w:val="24"/>
        </w:rPr>
      </w:pPr>
      <w:r>
        <w:rPr>
          <w:rFonts w:hint="eastAsia" w:ascii="宋体" w:hAnsi="宋体" w:cs="宋体"/>
          <w:sz w:val="24"/>
        </w:rPr>
        <w:t>2.质疑答复</w:t>
      </w:r>
    </w:p>
    <w:p w14:paraId="3928B9B0">
      <w:pPr>
        <w:spacing w:line="400" w:lineRule="exact"/>
        <w:ind w:right="12" w:firstLine="480"/>
        <w:rPr>
          <w:rFonts w:ascii="宋体" w:hAnsi="宋体" w:cs="宋体"/>
          <w:sz w:val="24"/>
        </w:rPr>
      </w:pPr>
      <w:r>
        <w:rPr>
          <w:rFonts w:hint="eastAsia" w:ascii="宋体" w:hAnsi="宋体" w:cs="宋体"/>
          <w:sz w:val="24"/>
        </w:rPr>
        <w:t>采购人、采购代理机构应当在收到供应商的书面质疑后七个工作日内做出答复，并以书面形式通知质疑供应商和其他有关供应商。</w:t>
      </w:r>
    </w:p>
    <w:p w14:paraId="24FD2327">
      <w:pPr>
        <w:spacing w:line="400" w:lineRule="exact"/>
        <w:ind w:right="12" w:firstLine="480"/>
        <w:rPr>
          <w:rFonts w:ascii="宋体" w:hAnsi="宋体" w:cs="宋体"/>
          <w:sz w:val="24"/>
        </w:rPr>
      </w:pPr>
      <w:r>
        <w:rPr>
          <w:rFonts w:hint="eastAsia" w:ascii="宋体" w:hAnsi="宋体" w:cs="宋体"/>
          <w:sz w:val="24"/>
        </w:rPr>
        <w:t>3.其他</w:t>
      </w:r>
    </w:p>
    <w:p w14:paraId="3CA9A702">
      <w:pPr>
        <w:spacing w:line="400" w:lineRule="exact"/>
        <w:ind w:right="12" w:firstLine="480"/>
        <w:rPr>
          <w:rFonts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14:paraId="3E16B0E3">
      <w:pPr>
        <w:spacing w:line="400" w:lineRule="exact"/>
        <w:ind w:right="12" w:firstLine="480"/>
        <w:rPr>
          <w:rFonts w:ascii="宋体" w:hAnsi="宋体" w:cs="宋体"/>
          <w:sz w:val="24"/>
        </w:rPr>
      </w:pPr>
      <w:r>
        <w:rPr>
          <w:rFonts w:hint="eastAsia" w:ascii="宋体" w:hAnsi="宋体" w:cs="宋体"/>
          <w:sz w:val="24"/>
        </w:rPr>
        <w:t>3.2质疑函范本可在财政部门户网站和中国政府采购网下载。</w:t>
      </w:r>
    </w:p>
    <w:p w14:paraId="6A92040F">
      <w:pPr>
        <w:spacing w:line="400" w:lineRule="exact"/>
        <w:ind w:right="12" w:firstLine="480"/>
        <w:outlineLvl w:val="2"/>
        <w:rPr>
          <w:rFonts w:ascii="宋体" w:hAnsi="宋体" w:cs="宋体"/>
          <w:sz w:val="24"/>
        </w:rPr>
      </w:pPr>
      <w:r>
        <w:rPr>
          <w:rFonts w:hint="eastAsia" w:ascii="宋体" w:hAnsi="宋体" w:cs="宋体"/>
          <w:sz w:val="24"/>
        </w:rPr>
        <w:t>（三）投诉</w:t>
      </w:r>
    </w:p>
    <w:p w14:paraId="01A1F9A8">
      <w:pPr>
        <w:spacing w:line="400" w:lineRule="exact"/>
        <w:ind w:right="12" w:firstLine="480"/>
        <w:rPr>
          <w:rFonts w:ascii="宋体" w:hAnsi="宋体" w:cs="宋体"/>
          <w:sz w:val="24"/>
          <w:szCs w:val="24"/>
        </w:rPr>
      </w:pPr>
      <w:r>
        <w:rPr>
          <w:rFonts w:hint="eastAsia" w:ascii="宋体" w:hAnsi="宋体" w:cs="宋体"/>
          <w:sz w:val="24"/>
        </w:rPr>
        <w:t>供应商对采购人、采购代理机构的答复不满意，或者采购人、采购代理机构未在规定时间内做出答复的，按照《政府采购质疑和投诉办法》（财政部令第94号）执行。</w:t>
      </w:r>
    </w:p>
    <w:p w14:paraId="53FF4E5E">
      <w:pPr>
        <w:pStyle w:val="3"/>
        <w:adjustRightInd w:val="0"/>
        <w:snapToGrid w:val="0"/>
        <w:spacing w:before="0" w:after="0" w:line="400" w:lineRule="exact"/>
        <w:ind w:firstLine="482" w:firstLineChars="200"/>
        <w:rPr>
          <w:rFonts w:ascii="宋体" w:hAnsi="宋体" w:cs="宋体"/>
        </w:rPr>
      </w:pPr>
      <w:bookmarkStart w:id="220" w:name="_Toc945"/>
      <w:bookmarkStart w:id="221" w:name="_Toc9375"/>
      <w:bookmarkStart w:id="222" w:name="_Toc21831"/>
      <w:bookmarkStart w:id="223" w:name="_Toc65660361"/>
      <w:bookmarkStart w:id="224" w:name="_Toc3127"/>
      <w:bookmarkStart w:id="225" w:name="_Toc7871"/>
      <w:bookmarkStart w:id="226" w:name="_Toc16648"/>
      <w:r>
        <w:rPr>
          <w:rFonts w:hint="eastAsia" w:ascii="宋体" w:hAnsi="宋体" w:cs="宋体"/>
        </w:rPr>
        <w:t>七、签订合同</w:t>
      </w:r>
      <w:bookmarkEnd w:id="220"/>
      <w:bookmarkEnd w:id="221"/>
      <w:bookmarkEnd w:id="222"/>
      <w:bookmarkEnd w:id="223"/>
      <w:bookmarkEnd w:id="224"/>
      <w:bookmarkEnd w:id="225"/>
      <w:bookmarkEnd w:id="226"/>
    </w:p>
    <w:p w14:paraId="2D91E832">
      <w:pPr>
        <w:spacing w:line="400" w:lineRule="exact"/>
        <w:ind w:firstLine="360" w:firstLineChars="150"/>
        <w:rPr>
          <w:rFonts w:ascii="宋体" w:hAnsi="宋体" w:cs="宋体"/>
          <w:sz w:val="24"/>
          <w:szCs w:val="24"/>
        </w:rPr>
      </w:pPr>
      <w:bookmarkStart w:id="227" w:name="_Toc3338"/>
      <w:r>
        <w:rPr>
          <w:rFonts w:hint="eastAsia" w:ascii="宋体" w:hAnsi="宋体" w:cs="宋体"/>
          <w:sz w:val="24"/>
          <w:szCs w:val="24"/>
        </w:rPr>
        <w:t>（一）采购人原则上应在成交通知书发出之日起二十日内和成交供应商签订政府采购合同，无正当理由不得拒绝或拖延合同签订。</w:t>
      </w:r>
    </w:p>
    <w:p w14:paraId="75CEA411">
      <w:pPr>
        <w:spacing w:line="400" w:lineRule="exact"/>
        <w:ind w:firstLine="360" w:firstLineChars="150"/>
        <w:rPr>
          <w:rFonts w:ascii="宋体" w:hAnsi="宋体" w:cs="宋体"/>
          <w:sz w:val="24"/>
          <w:szCs w:val="24"/>
        </w:rPr>
      </w:pPr>
      <w:r>
        <w:rPr>
          <w:rFonts w:hint="eastAsia" w:ascii="宋体" w:hAnsi="宋体" w:cs="宋体"/>
          <w:sz w:val="24"/>
          <w:szCs w:val="24"/>
        </w:rPr>
        <w:t>（二）竞争性谈判文件、供应商的响应文件及澄清文件等，均为签订政府采购合同的依据。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上述约定内容事项所涉及合同当事人之间的权利义务在政府采购合同中充分体现。其他未尽事宜由采购人和成交供应商在采购合同中详细约定。采购人和成交供应商之间约定的权利义务，不得改变采购文件的规定要求、响应文件和评审、商定过程中的响应承诺范围。</w:t>
      </w:r>
    </w:p>
    <w:p w14:paraId="2D4A189F">
      <w:pPr>
        <w:spacing w:line="400" w:lineRule="exact"/>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1939C1EC">
      <w:pPr>
        <w:spacing w:line="400" w:lineRule="exact"/>
        <w:ind w:firstLine="360" w:firstLineChars="150"/>
        <w:rPr>
          <w:rFonts w:ascii="宋体" w:hAnsi="宋体" w:cs="宋体"/>
          <w:sz w:val="24"/>
          <w:szCs w:val="24"/>
        </w:rPr>
      </w:pPr>
      <w:r>
        <w:rPr>
          <w:rFonts w:hint="eastAsia" w:ascii="宋体" w:hAnsi="宋体" w:cs="宋体"/>
          <w:sz w:val="24"/>
          <w:szCs w:val="24"/>
        </w:rPr>
        <w:t>（四）合同原则上应按照《重庆市政府采购合同》签订，相关单位要求适用合同通用格式版本的，应按其要求另行签订其他合同。</w:t>
      </w:r>
    </w:p>
    <w:p w14:paraId="67C301E9">
      <w:pPr>
        <w:spacing w:line="400" w:lineRule="exact"/>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（五）采购人要求成交供应商提供履约保证金的，应当在竞争性谈判文件中予以约定。成交供应商履约完毕后，采购人根据采购文件规定无息退还其履约保证金。</w:t>
      </w:r>
    </w:p>
    <w:p w14:paraId="02C26E93">
      <w:pPr>
        <w:pStyle w:val="3"/>
        <w:adjustRightInd w:val="0"/>
        <w:snapToGrid w:val="0"/>
        <w:spacing w:before="0" w:after="0" w:line="400" w:lineRule="exact"/>
        <w:ind w:firstLine="482" w:firstLineChars="200"/>
        <w:rPr>
          <w:rFonts w:ascii="宋体" w:hAnsi="宋体" w:cs="宋体"/>
        </w:rPr>
      </w:pPr>
      <w:bookmarkStart w:id="228" w:name="_Toc4731"/>
      <w:r>
        <w:rPr>
          <w:rFonts w:hint="eastAsia" w:ascii="宋体" w:hAnsi="宋体" w:cs="宋体"/>
        </w:rPr>
        <w:t>八、项目验收</w:t>
      </w:r>
      <w:bookmarkEnd w:id="228"/>
    </w:p>
    <w:p w14:paraId="4CBE6B90">
      <w:pPr>
        <w:spacing w:line="400" w:lineRule="exact"/>
        <w:ind w:firstLine="480" w:firstLineChars="200"/>
        <w:rPr>
          <w:rFonts w:ascii="宋体" w:hAnsi="宋体" w:cs="宋体"/>
          <w:sz w:val="24"/>
          <w:szCs w:val="24"/>
        </w:rPr>
      </w:pPr>
      <w:r>
        <w:rPr>
          <w:rFonts w:hint="eastAsia" w:ascii="宋体" w:hAnsi="宋体" w:cs="宋体"/>
          <w:sz w:val="24"/>
          <w:szCs w:val="24"/>
        </w:rPr>
        <w:t>成交供应商完成合同约定所有内容后，应及时提请并配合采购人验收，按照国家相关标准要求提供项目验收资料及采购人明确要求的其它材料，提供材料产生相关的费用由供应商自行承担。</w:t>
      </w:r>
    </w:p>
    <w:p w14:paraId="4C335C92">
      <w:pPr>
        <w:pStyle w:val="22"/>
      </w:pPr>
    </w:p>
    <w:bookmarkEnd w:id="109"/>
    <w:bookmarkEnd w:id="227"/>
    <w:p w14:paraId="52F12E89">
      <w:pPr>
        <w:pStyle w:val="2"/>
        <w:numPr>
          <w:ilvl w:val="0"/>
          <w:numId w:val="3"/>
        </w:numPr>
        <w:rPr>
          <w:rFonts w:cs="宋体"/>
          <w:bCs/>
        </w:rPr>
      </w:pPr>
      <w:bookmarkStart w:id="229" w:name="_Toc18611"/>
      <w:bookmarkEnd w:id="229"/>
      <w:bookmarkStart w:id="230" w:name="_Toc11641055"/>
      <w:bookmarkEnd w:id="230"/>
      <w:bookmarkStart w:id="231" w:name="_Toc12789059"/>
      <w:bookmarkEnd w:id="231"/>
      <w:bookmarkStart w:id="232" w:name="_Toc65660365"/>
      <w:bookmarkStart w:id="233" w:name="_Toc14861"/>
      <w:bookmarkStart w:id="234" w:name="_Toc28162"/>
      <w:bookmarkStart w:id="235" w:name="_Toc7908"/>
      <w:bookmarkStart w:id="236" w:name="_Toc15163"/>
      <w:bookmarkStart w:id="237" w:name="_Toc6551"/>
    </w:p>
    <w:p w14:paraId="41605634">
      <w:pPr>
        <w:pStyle w:val="2"/>
        <w:numPr>
          <w:ilvl w:val="0"/>
          <w:numId w:val="3"/>
        </w:numPr>
        <w:rPr>
          <w:rFonts w:cs="宋体"/>
          <w:bCs/>
        </w:rPr>
      </w:pPr>
      <w:bookmarkStart w:id="238" w:name="_Toc2133"/>
      <w:r>
        <w:rPr>
          <w:rFonts w:hint="eastAsia" w:cs="宋体"/>
          <w:bCs/>
        </w:rPr>
        <w:t>合同草案条款</w:t>
      </w:r>
      <w:bookmarkEnd w:id="232"/>
      <w:bookmarkEnd w:id="233"/>
      <w:bookmarkEnd w:id="234"/>
      <w:bookmarkEnd w:id="235"/>
      <w:bookmarkEnd w:id="236"/>
      <w:bookmarkEnd w:id="237"/>
      <w:bookmarkEnd w:id="238"/>
    </w:p>
    <w:p w14:paraId="790C92D2">
      <w:pPr>
        <w:spacing w:line="500" w:lineRule="exact"/>
        <w:jc w:val="center"/>
        <w:outlineLvl w:val="1"/>
        <w:rPr>
          <w:rFonts w:ascii="方正仿宋_GBK" w:eastAsia="方正仿宋_GBK"/>
          <w:b/>
          <w:sz w:val="44"/>
        </w:rPr>
      </w:pPr>
      <w:r>
        <w:rPr>
          <w:rFonts w:hint="eastAsia" w:ascii="方正仿宋_GBK" w:eastAsia="方正仿宋_GBK"/>
          <w:b/>
          <w:sz w:val="44"/>
        </w:rPr>
        <w:t>重庆市政府采购购销合同</w:t>
      </w:r>
    </w:p>
    <w:p w14:paraId="51114EB7">
      <w:pPr>
        <w:spacing w:line="500" w:lineRule="exact"/>
        <w:jc w:val="center"/>
        <w:outlineLvl w:val="1"/>
        <w:rPr>
          <w:rFonts w:ascii="方正仿宋_GBK" w:eastAsia="方正仿宋_GBK"/>
          <w:sz w:val="36"/>
          <w:szCs w:val="36"/>
        </w:rPr>
      </w:pPr>
      <w:r>
        <w:rPr>
          <w:rFonts w:hint="eastAsia" w:ascii="方正仿宋_GBK" w:eastAsia="方正仿宋_GBK"/>
          <w:sz w:val="36"/>
          <w:szCs w:val="36"/>
        </w:rPr>
        <w:t>（竞争性谈判）</w:t>
      </w:r>
    </w:p>
    <w:p w14:paraId="74049C68">
      <w:pPr>
        <w:spacing w:line="500" w:lineRule="exact"/>
        <w:jc w:val="center"/>
        <w:outlineLvl w:val="1"/>
        <w:rPr>
          <w:rFonts w:ascii="方正仿宋_GBK" w:eastAsia="方正仿宋_GBK"/>
        </w:rPr>
      </w:pPr>
      <w:r>
        <w:rPr>
          <w:rFonts w:hint="eastAsia" w:ascii="方正仿宋_GBK" w:eastAsia="方正仿宋_GBK"/>
        </w:rPr>
        <w:t>（项目号：     ）</w:t>
      </w:r>
    </w:p>
    <w:p w14:paraId="6E5E681E">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5A01CD02">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694B5902">
      <w:pPr>
        <w:spacing w:line="500" w:lineRule="exact"/>
        <w:rPr>
          <w:rFonts w:ascii="方正仿宋_GBK" w:eastAsia="方正仿宋_GBK"/>
          <w:sz w:val="24"/>
        </w:rPr>
      </w:pPr>
    </w:p>
    <w:p w14:paraId="00AFE05E">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712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ign w:val="center"/>
          </w:tcPr>
          <w:p w14:paraId="3A65E783">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noWrap/>
            <w:vAlign w:val="center"/>
          </w:tcPr>
          <w:p w14:paraId="03444551">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noWrap/>
            <w:vAlign w:val="center"/>
          </w:tcPr>
          <w:p w14:paraId="5E8D284A">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noWrap/>
            <w:vAlign w:val="center"/>
          </w:tcPr>
          <w:p w14:paraId="62B622EF">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noWrap/>
            <w:vAlign w:val="center"/>
          </w:tcPr>
          <w:p w14:paraId="55D3D07F">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noWrap/>
            <w:vAlign w:val="center"/>
          </w:tcPr>
          <w:p w14:paraId="4ABB121E">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noWrap/>
            <w:vAlign w:val="center"/>
          </w:tcPr>
          <w:p w14:paraId="434D344D">
            <w:pPr>
              <w:spacing w:line="500" w:lineRule="exact"/>
              <w:jc w:val="center"/>
              <w:rPr>
                <w:rFonts w:ascii="方正仿宋_GBK" w:eastAsia="方正仿宋_GBK"/>
                <w:sz w:val="24"/>
              </w:rPr>
            </w:pPr>
            <w:r>
              <w:rPr>
                <w:rFonts w:hint="eastAsia" w:ascii="方正仿宋_GBK" w:eastAsia="方正仿宋_GBK"/>
                <w:sz w:val="24"/>
              </w:rPr>
              <w:t>交货地点</w:t>
            </w:r>
          </w:p>
        </w:tc>
      </w:tr>
      <w:tr w14:paraId="4B56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6F22FB4B">
            <w:pPr>
              <w:spacing w:line="500" w:lineRule="exact"/>
              <w:jc w:val="center"/>
              <w:rPr>
                <w:rFonts w:ascii="方正仿宋_GBK" w:eastAsia="方正仿宋_GBK"/>
                <w:sz w:val="24"/>
              </w:rPr>
            </w:pPr>
          </w:p>
        </w:tc>
        <w:tc>
          <w:tcPr>
            <w:tcW w:w="1741" w:type="dxa"/>
            <w:noWrap/>
            <w:vAlign w:val="center"/>
          </w:tcPr>
          <w:p w14:paraId="1CDE2BB1">
            <w:pPr>
              <w:spacing w:line="500" w:lineRule="exact"/>
              <w:jc w:val="center"/>
              <w:rPr>
                <w:rFonts w:ascii="方正仿宋_GBK" w:eastAsia="方正仿宋_GBK"/>
                <w:sz w:val="24"/>
              </w:rPr>
            </w:pPr>
          </w:p>
        </w:tc>
        <w:tc>
          <w:tcPr>
            <w:tcW w:w="984" w:type="dxa"/>
            <w:noWrap/>
            <w:vAlign w:val="center"/>
          </w:tcPr>
          <w:p w14:paraId="02309BB6">
            <w:pPr>
              <w:spacing w:line="500" w:lineRule="exact"/>
              <w:jc w:val="center"/>
              <w:rPr>
                <w:rFonts w:ascii="方正仿宋_GBK" w:eastAsia="方正仿宋_GBK"/>
                <w:sz w:val="24"/>
              </w:rPr>
            </w:pPr>
          </w:p>
        </w:tc>
        <w:tc>
          <w:tcPr>
            <w:tcW w:w="873" w:type="dxa"/>
            <w:noWrap/>
            <w:vAlign w:val="center"/>
          </w:tcPr>
          <w:p w14:paraId="26BAEECC">
            <w:pPr>
              <w:spacing w:line="500" w:lineRule="exact"/>
              <w:jc w:val="center"/>
              <w:rPr>
                <w:rFonts w:ascii="方正仿宋_GBK" w:eastAsia="方正仿宋_GBK"/>
                <w:sz w:val="24"/>
              </w:rPr>
            </w:pPr>
          </w:p>
        </w:tc>
        <w:tc>
          <w:tcPr>
            <w:tcW w:w="899" w:type="dxa"/>
            <w:noWrap/>
            <w:vAlign w:val="center"/>
          </w:tcPr>
          <w:p w14:paraId="390FB9ED">
            <w:pPr>
              <w:spacing w:line="500" w:lineRule="exact"/>
              <w:jc w:val="center"/>
              <w:rPr>
                <w:rFonts w:ascii="方正仿宋_GBK" w:eastAsia="方正仿宋_GBK"/>
                <w:sz w:val="24"/>
              </w:rPr>
            </w:pPr>
          </w:p>
        </w:tc>
        <w:tc>
          <w:tcPr>
            <w:tcW w:w="1575" w:type="dxa"/>
            <w:noWrap/>
            <w:vAlign w:val="center"/>
          </w:tcPr>
          <w:p w14:paraId="17E94592">
            <w:pPr>
              <w:spacing w:line="500" w:lineRule="exact"/>
              <w:jc w:val="center"/>
              <w:rPr>
                <w:rFonts w:ascii="方正仿宋_GBK" w:eastAsia="方正仿宋_GBK"/>
                <w:sz w:val="24"/>
              </w:rPr>
            </w:pPr>
          </w:p>
        </w:tc>
        <w:tc>
          <w:tcPr>
            <w:tcW w:w="2211" w:type="dxa"/>
            <w:noWrap/>
            <w:vAlign w:val="center"/>
          </w:tcPr>
          <w:p w14:paraId="0134AB77">
            <w:pPr>
              <w:spacing w:line="500" w:lineRule="exact"/>
              <w:jc w:val="center"/>
              <w:rPr>
                <w:rFonts w:ascii="方正仿宋_GBK" w:eastAsia="方正仿宋_GBK"/>
                <w:sz w:val="24"/>
              </w:rPr>
            </w:pPr>
          </w:p>
        </w:tc>
      </w:tr>
      <w:tr w14:paraId="5F62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3B7CFA01">
            <w:pPr>
              <w:spacing w:line="500" w:lineRule="exact"/>
              <w:jc w:val="center"/>
              <w:rPr>
                <w:rFonts w:ascii="方正仿宋_GBK" w:eastAsia="方正仿宋_GBK"/>
                <w:sz w:val="24"/>
              </w:rPr>
            </w:pPr>
          </w:p>
        </w:tc>
        <w:tc>
          <w:tcPr>
            <w:tcW w:w="1741" w:type="dxa"/>
            <w:noWrap/>
            <w:vAlign w:val="center"/>
          </w:tcPr>
          <w:p w14:paraId="0C2A65C7">
            <w:pPr>
              <w:spacing w:line="500" w:lineRule="exact"/>
              <w:jc w:val="center"/>
              <w:rPr>
                <w:rFonts w:ascii="方正仿宋_GBK" w:eastAsia="方正仿宋_GBK"/>
                <w:sz w:val="24"/>
              </w:rPr>
            </w:pPr>
          </w:p>
        </w:tc>
        <w:tc>
          <w:tcPr>
            <w:tcW w:w="984" w:type="dxa"/>
            <w:noWrap/>
            <w:vAlign w:val="center"/>
          </w:tcPr>
          <w:p w14:paraId="727A1120">
            <w:pPr>
              <w:spacing w:line="500" w:lineRule="exact"/>
              <w:jc w:val="center"/>
              <w:rPr>
                <w:rFonts w:ascii="方正仿宋_GBK" w:eastAsia="方正仿宋_GBK"/>
                <w:sz w:val="24"/>
              </w:rPr>
            </w:pPr>
          </w:p>
        </w:tc>
        <w:tc>
          <w:tcPr>
            <w:tcW w:w="873" w:type="dxa"/>
            <w:noWrap/>
            <w:vAlign w:val="center"/>
          </w:tcPr>
          <w:p w14:paraId="3D1D324A">
            <w:pPr>
              <w:spacing w:line="500" w:lineRule="exact"/>
              <w:jc w:val="center"/>
              <w:rPr>
                <w:rFonts w:ascii="方正仿宋_GBK" w:eastAsia="方正仿宋_GBK"/>
                <w:sz w:val="24"/>
              </w:rPr>
            </w:pPr>
          </w:p>
        </w:tc>
        <w:tc>
          <w:tcPr>
            <w:tcW w:w="899" w:type="dxa"/>
            <w:noWrap/>
            <w:vAlign w:val="center"/>
          </w:tcPr>
          <w:p w14:paraId="1AA7EA24">
            <w:pPr>
              <w:spacing w:line="500" w:lineRule="exact"/>
              <w:jc w:val="center"/>
              <w:rPr>
                <w:rFonts w:ascii="方正仿宋_GBK" w:eastAsia="方正仿宋_GBK"/>
                <w:sz w:val="24"/>
              </w:rPr>
            </w:pPr>
          </w:p>
        </w:tc>
        <w:tc>
          <w:tcPr>
            <w:tcW w:w="1575" w:type="dxa"/>
            <w:noWrap/>
            <w:vAlign w:val="center"/>
          </w:tcPr>
          <w:p w14:paraId="1F019231">
            <w:pPr>
              <w:spacing w:line="500" w:lineRule="exact"/>
              <w:jc w:val="center"/>
              <w:rPr>
                <w:rFonts w:ascii="方正仿宋_GBK" w:eastAsia="方正仿宋_GBK"/>
                <w:sz w:val="24"/>
              </w:rPr>
            </w:pPr>
          </w:p>
        </w:tc>
        <w:tc>
          <w:tcPr>
            <w:tcW w:w="2211" w:type="dxa"/>
            <w:noWrap/>
            <w:vAlign w:val="center"/>
          </w:tcPr>
          <w:p w14:paraId="2F9B9970">
            <w:pPr>
              <w:spacing w:line="500" w:lineRule="exact"/>
              <w:jc w:val="center"/>
              <w:rPr>
                <w:rFonts w:ascii="方正仿宋_GBK" w:eastAsia="方正仿宋_GBK"/>
                <w:sz w:val="24"/>
              </w:rPr>
            </w:pPr>
          </w:p>
        </w:tc>
      </w:tr>
      <w:tr w14:paraId="14BB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1B78F899">
            <w:pPr>
              <w:spacing w:line="500" w:lineRule="exact"/>
              <w:jc w:val="center"/>
              <w:rPr>
                <w:rFonts w:ascii="方正仿宋_GBK" w:eastAsia="方正仿宋_GBK"/>
                <w:sz w:val="24"/>
              </w:rPr>
            </w:pPr>
          </w:p>
        </w:tc>
        <w:tc>
          <w:tcPr>
            <w:tcW w:w="1741" w:type="dxa"/>
            <w:noWrap/>
            <w:vAlign w:val="center"/>
          </w:tcPr>
          <w:p w14:paraId="41DF077A">
            <w:pPr>
              <w:spacing w:line="500" w:lineRule="exact"/>
              <w:jc w:val="center"/>
              <w:rPr>
                <w:rFonts w:ascii="方正仿宋_GBK" w:eastAsia="方正仿宋_GBK"/>
                <w:sz w:val="24"/>
              </w:rPr>
            </w:pPr>
          </w:p>
        </w:tc>
        <w:tc>
          <w:tcPr>
            <w:tcW w:w="984" w:type="dxa"/>
            <w:noWrap/>
            <w:vAlign w:val="center"/>
          </w:tcPr>
          <w:p w14:paraId="1F433280">
            <w:pPr>
              <w:spacing w:line="500" w:lineRule="exact"/>
              <w:jc w:val="center"/>
              <w:rPr>
                <w:rFonts w:ascii="方正仿宋_GBK" w:eastAsia="方正仿宋_GBK"/>
                <w:sz w:val="24"/>
              </w:rPr>
            </w:pPr>
          </w:p>
        </w:tc>
        <w:tc>
          <w:tcPr>
            <w:tcW w:w="873" w:type="dxa"/>
            <w:noWrap/>
            <w:vAlign w:val="center"/>
          </w:tcPr>
          <w:p w14:paraId="0BAFB989">
            <w:pPr>
              <w:spacing w:line="500" w:lineRule="exact"/>
              <w:jc w:val="center"/>
              <w:rPr>
                <w:rFonts w:ascii="方正仿宋_GBK" w:eastAsia="方正仿宋_GBK"/>
                <w:sz w:val="24"/>
              </w:rPr>
            </w:pPr>
          </w:p>
        </w:tc>
        <w:tc>
          <w:tcPr>
            <w:tcW w:w="899" w:type="dxa"/>
            <w:noWrap/>
            <w:vAlign w:val="center"/>
          </w:tcPr>
          <w:p w14:paraId="0C0D6582">
            <w:pPr>
              <w:spacing w:line="500" w:lineRule="exact"/>
              <w:jc w:val="center"/>
              <w:rPr>
                <w:rFonts w:ascii="方正仿宋_GBK" w:eastAsia="方正仿宋_GBK"/>
                <w:sz w:val="24"/>
              </w:rPr>
            </w:pPr>
          </w:p>
        </w:tc>
        <w:tc>
          <w:tcPr>
            <w:tcW w:w="1575" w:type="dxa"/>
            <w:noWrap/>
            <w:vAlign w:val="center"/>
          </w:tcPr>
          <w:p w14:paraId="18B3276C">
            <w:pPr>
              <w:spacing w:line="500" w:lineRule="exact"/>
              <w:jc w:val="center"/>
              <w:rPr>
                <w:rFonts w:ascii="方正仿宋_GBK" w:eastAsia="方正仿宋_GBK"/>
                <w:sz w:val="24"/>
              </w:rPr>
            </w:pPr>
          </w:p>
        </w:tc>
        <w:tc>
          <w:tcPr>
            <w:tcW w:w="2211" w:type="dxa"/>
            <w:noWrap/>
            <w:vAlign w:val="center"/>
          </w:tcPr>
          <w:p w14:paraId="2EB74CAF">
            <w:pPr>
              <w:spacing w:line="500" w:lineRule="exact"/>
              <w:jc w:val="center"/>
              <w:rPr>
                <w:rFonts w:ascii="方正仿宋_GBK" w:eastAsia="方正仿宋_GBK"/>
                <w:sz w:val="24"/>
              </w:rPr>
            </w:pPr>
          </w:p>
        </w:tc>
      </w:tr>
      <w:tr w14:paraId="5E33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2F94C814">
            <w:pPr>
              <w:spacing w:line="500" w:lineRule="exact"/>
              <w:jc w:val="center"/>
              <w:rPr>
                <w:rFonts w:ascii="方正仿宋_GBK" w:eastAsia="方正仿宋_GBK"/>
                <w:sz w:val="24"/>
              </w:rPr>
            </w:pPr>
          </w:p>
        </w:tc>
        <w:tc>
          <w:tcPr>
            <w:tcW w:w="1741" w:type="dxa"/>
            <w:noWrap/>
            <w:vAlign w:val="center"/>
          </w:tcPr>
          <w:p w14:paraId="763AA52E">
            <w:pPr>
              <w:spacing w:line="500" w:lineRule="exact"/>
              <w:jc w:val="center"/>
              <w:rPr>
                <w:rFonts w:ascii="方正仿宋_GBK" w:eastAsia="方正仿宋_GBK"/>
                <w:sz w:val="24"/>
              </w:rPr>
            </w:pPr>
          </w:p>
        </w:tc>
        <w:tc>
          <w:tcPr>
            <w:tcW w:w="984" w:type="dxa"/>
            <w:noWrap/>
            <w:vAlign w:val="center"/>
          </w:tcPr>
          <w:p w14:paraId="6FC2943B">
            <w:pPr>
              <w:spacing w:line="500" w:lineRule="exact"/>
              <w:jc w:val="center"/>
              <w:rPr>
                <w:rFonts w:ascii="方正仿宋_GBK" w:eastAsia="方正仿宋_GBK"/>
                <w:sz w:val="24"/>
              </w:rPr>
            </w:pPr>
          </w:p>
        </w:tc>
        <w:tc>
          <w:tcPr>
            <w:tcW w:w="873" w:type="dxa"/>
            <w:noWrap/>
            <w:vAlign w:val="center"/>
          </w:tcPr>
          <w:p w14:paraId="4D1389FE">
            <w:pPr>
              <w:spacing w:line="500" w:lineRule="exact"/>
              <w:jc w:val="center"/>
              <w:rPr>
                <w:rFonts w:ascii="方正仿宋_GBK" w:eastAsia="方正仿宋_GBK"/>
                <w:sz w:val="24"/>
              </w:rPr>
            </w:pPr>
          </w:p>
        </w:tc>
        <w:tc>
          <w:tcPr>
            <w:tcW w:w="899" w:type="dxa"/>
            <w:noWrap/>
            <w:vAlign w:val="center"/>
          </w:tcPr>
          <w:p w14:paraId="0D3790DF">
            <w:pPr>
              <w:spacing w:line="500" w:lineRule="exact"/>
              <w:jc w:val="center"/>
              <w:rPr>
                <w:rFonts w:ascii="方正仿宋_GBK" w:eastAsia="方正仿宋_GBK"/>
                <w:sz w:val="24"/>
              </w:rPr>
            </w:pPr>
          </w:p>
        </w:tc>
        <w:tc>
          <w:tcPr>
            <w:tcW w:w="1575" w:type="dxa"/>
            <w:noWrap/>
            <w:vAlign w:val="center"/>
          </w:tcPr>
          <w:p w14:paraId="4C80CDBA">
            <w:pPr>
              <w:spacing w:line="500" w:lineRule="exact"/>
              <w:jc w:val="center"/>
              <w:rPr>
                <w:rFonts w:ascii="方正仿宋_GBK" w:eastAsia="方正仿宋_GBK"/>
                <w:sz w:val="24"/>
              </w:rPr>
            </w:pPr>
          </w:p>
        </w:tc>
        <w:tc>
          <w:tcPr>
            <w:tcW w:w="2211" w:type="dxa"/>
            <w:noWrap/>
            <w:vAlign w:val="center"/>
          </w:tcPr>
          <w:p w14:paraId="6472C780">
            <w:pPr>
              <w:spacing w:line="500" w:lineRule="exact"/>
              <w:jc w:val="center"/>
              <w:rPr>
                <w:rFonts w:ascii="方正仿宋_GBK" w:eastAsia="方正仿宋_GBK"/>
                <w:sz w:val="24"/>
              </w:rPr>
            </w:pPr>
          </w:p>
        </w:tc>
      </w:tr>
      <w:tr w14:paraId="2518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3205C51C">
            <w:pPr>
              <w:spacing w:line="500" w:lineRule="exact"/>
              <w:jc w:val="center"/>
              <w:rPr>
                <w:rFonts w:ascii="方正仿宋_GBK" w:eastAsia="方正仿宋_GBK"/>
                <w:sz w:val="24"/>
              </w:rPr>
            </w:pPr>
          </w:p>
        </w:tc>
        <w:tc>
          <w:tcPr>
            <w:tcW w:w="1741" w:type="dxa"/>
            <w:noWrap/>
            <w:vAlign w:val="center"/>
          </w:tcPr>
          <w:p w14:paraId="56288E06">
            <w:pPr>
              <w:spacing w:line="500" w:lineRule="exact"/>
              <w:jc w:val="center"/>
              <w:rPr>
                <w:rFonts w:ascii="方正仿宋_GBK" w:eastAsia="方正仿宋_GBK"/>
                <w:sz w:val="24"/>
              </w:rPr>
            </w:pPr>
          </w:p>
        </w:tc>
        <w:tc>
          <w:tcPr>
            <w:tcW w:w="984" w:type="dxa"/>
            <w:noWrap/>
            <w:vAlign w:val="center"/>
          </w:tcPr>
          <w:p w14:paraId="6CAE52D5">
            <w:pPr>
              <w:spacing w:line="500" w:lineRule="exact"/>
              <w:jc w:val="center"/>
              <w:rPr>
                <w:rFonts w:ascii="方正仿宋_GBK" w:eastAsia="方正仿宋_GBK"/>
                <w:sz w:val="24"/>
              </w:rPr>
            </w:pPr>
          </w:p>
        </w:tc>
        <w:tc>
          <w:tcPr>
            <w:tcW w:w="873" w:type="dxa"/>
            <w:noWrap/>
            <w:vAlign w:val="center"/>
          </w:tcPr>
          <w:p w14:paraId="4F9B6862">
            <w:pPr>
              <w:spacing w:line="500" w:lineRule="exact"/>
              <w:jc w:val="center"/>
              <w:rPr>
                <w:rFonts w:ascii="方正仿宋_GBK" w:eastAsia="方正仿宋_GBK"/>
                <w:sz w:val="24"/>
              </w:rPr>
            </w:pPr>
          </w:p>
        </w:tc>
        <w:tc>
          <w:tcPr>
            <w:tcW w:w="899" w:type="dxa"/>
            <w:noWrap/>
            <w:vAlign w:val="center"/>
          </w:tcPr>
          <w:p w14:paraId="2DA0C4D7">
            <w:pPr>
              <w:spacing w:line="500" w:lineRule="exact"/>
              <w:jc w:val="center"/>
              <w:rPr>
                <w:rFonts w:ascii="方正仿宋_GBK" w:eastAsia="方正仿宋_GBK"/>
                <w:sz w:val="24"/>
              </w:rPr>
            </w:pPr>
          </w:p>
        </w:tc>
        <w:tc>
          <w:tcPr>
            <w:tcW w:w="1575" w:type="dxa"/>
            <w:noWrap/>
            <w:vAlign w:val="center"/>
          </w:tcPr>
          <w:p w14:paraId="7536870B">
            <w:pPr>
              <w:spacing w:line="500" w:lineRule="exact"/>
              <w:jc w:val="center"/>
              <w:rPr>
                <w:rFonts w:ascii="方正仿宋_GBK" w:eastAsia="方正仿宋_GBK"/>
                <w:sz w:val="24"/>
              </w:rPr>
            </w:pPr>
          </w:p>
        </w:tc>
        <w:tc>
          <w:tcPr>
            <w:tcW w:w="2211" w:type="dxa"/>
            <w:noWrap/>
            <w:vAlign w:val="center"/>
          </w:tcPr>
          <w:p w14:paraId="08E943E1">
            <w:pPr>
              <w:spacing w:line="500" w:lineRule="exact"/>
              <w:jc w:val="center"/>
              <w:rPr>
                <w:rFonts w:ascii="方正仿宋_GBK" w:eastAsia="方正仿宋_GBK"/>
                <w:sz w:val="24"/>
              </w:rPr>
            </w:pPr>
          </w:p>
        </w:tc>
      </w:tr>
      <w:tr w14:paraId="3466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3157FEA2">
            <w:pPr>
              <w:spacing w:line="500" w:lineRule="exact"/>
              <w:jc w:val="center"/>
              <w:rPr>
                <w:rFonts w:ascii="方正仿宋_GBK" w:eastAsia="方正仿宋_GBK"/>
                <w:sz w:val="24"/>
              </w:rPr>
            </w:pPr>
          </w:p>
        </w:tc>
        <w:tc>
          <w:tcPr>
            <w:tcW w:w="1741" w:type="dxa"/>
            <w:noWrap/>
            <w:vAlign w:val="center"/>
          </w:tcPr>
          <w:p w14:paraId="53C76B4D">
            <w:pPr>
              <w:spacing w:line="500" w:lineRule="exact"/>
              <w:jc w:val="center"/>
              <w:rPr>
                <w:rFonts w:ascii="方正仿宋_GBK" w:eastAsia="方正仿宋_GBK"/>
                <w:sz w:val="24"/>
              </w:rPr>
            </w:pPr>
          </w:p>
        </w:tc>
        <w:tc>
          <w:tcPr>
            <w:tcW w:w="984" w:type="dxa"/>
            <w:noWrap/>
            <w:vAlign w:val="center"/>
          </w:tcPr>
          <w:p w14:paraId="3756D5F2">
            <w:pPr>
              <w:spacing w:line="500" w:lineRule="exact"/>
              <w:jc w:val="center"/>
              <w:rPr>
                <w:rFonts w:ascii="方正仿宋_GBK" w:eastAsia="方正仿宋_GBK"/>
                <w:sz w:val="24"/>
              </w:rPr>
            </w:pPr>
          </w:p>
        </w:tc>
        <w:tc>
          <w:tcPr>
            <w:tcW w:w="873" w:type="dxa"/>
            <w:noWrap/>
            <w:vAlign w:val="center"/>
          </w:tcPr>
          <w:p w14:paraId="40803EBB">
            <w:pPr>
              <w:spacing w:line="500" w:lineRule="exact"/>
              <w:jc w:val="center"/>
              <w:rPr>
                <w:rFonts w:ascii="方正仿宋_GBK" w:eastAsia="方正仿宋_GBK"/>
                <w:sz w:val="24"/>
              </w:rPr>
            </w:pPr>
          </w:p>
        </w:tc>
        <w:tc>
          <w:tcPr>
            <w:tcW w:w="899" w:type="dxa"/>
            <w:noWrap/>
            <w:vAlign w:val="center"/>
          </w:tcPr>
          <w:p w14:paraId="6EC8E239">
            <w:pPr>
              <w:spacing w:line="500" w:lineRule="exact"/>
              <w:jc w:val="center"/>
              <w:rPr>
                <w:rFonts w:ascii="方正仿宋_GBK" w:eastAsia="方正仿宋_GBK"/>
                <w:sz w:val="24"/>
              </w:rPr>
            </w:pPr>
          </w:p>
        </w:tc>
        <w:tc>
          <w:tcPr>
            <w:tcW w:w="1575" w:type="dxa"/>
            <w:noWrap/>
            <w:vAlign w:val="center"/>
          </w:tcPr>
          <w:p w14:paraId="24A3DC93">
            <w:pPr>
              <w:spacing w:line="500" w:lineRule="exact"/>
              <w:jc w:val="center"/>
              <w:rPr>
                <w:rFonts w:ascii="方正仿宋_GBK" w:eastAsia="方正仿宋_GBK"/>
                <w:sz w:val="24"/>
              </w:rPr>
            </w:pPr>
          </w:p>
        </w:tc>
        <w:tc>
          <w:tcPr>
            <w:tcW w:w="2211" w:type="dxa"/>
            <w:noWrap/>
            <w:vAlign w:val="center"/>
          </w:tcPr>
          <w:p w14:paraId="6A57FF6A">
            <w:pPr>
              <w:spacing w:line="500" w:lineRule="exact"/>
              <w:jc w:val="center"/>
              <w:rPr>
                <w:rFonts w:ascii="方正仿宋_GBK" w:eastAsia="方正仿宋_GBK"/>
                <w:sz w:val="24"/>
              </w:rPr>
            </w:pPr>
          </w:p>
        </w:tc>
      </w:tr>
      <w:tr w14:paraId="26BB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ign w:val="center"/>
          </w:tcPr>
          <w:p w14:paraId="26A43866">
            <w:pPr>
              <w:spacing w:line="500" w:lineRule="exact"/>
              <w:jc w:val="center"/>
              <w:rPr>
                <w:rFonts w:ascii="方正仿宋_GBK" w:eastAsia="方正仿宋_GBK"/>
                <w:sz w:val="24"/>
              </w:rPr>
            </w:pPr>
          </w:p>
        </w:tc>
        <w:tc>
          <w:tcPr>
            <w:tcW w:w="1741" w:type="dxa"/>
            <w:tcBorders>
              <w:bottom w:val="single" w:color="auto" w:sz="4" w:space="0"/>
            </w:tcBorders>
            <w:noWrap/>
            <w:vAlign w:val="center"/>
          </w:tcPr>
          <w:p w14:paraId="7A4F4EC7">
            <w:pPr>
              <w:spacing w:line="500" w:lineRule="exact"/>
              <w:jc w:val="center"/>
              <w:rPr>
                <w:rFonts w:ascii="方正仿宋_GBK" w:eastAsia="方正仿宋_GBK"/>
                <w:sz w:val="24"/>
              </w:rPr>
            </w:pPr>
          </w:p>
        </w:tc>
        <w:tc>
          <w:tcPr>
            <w:tcW w:w="984" w:type="dxa"/>
            <w:tcBorders>
              <w:bottom w:val="single" w:color="auto" w:sz="4" w:space="0"/>
            </w:tcBorders>
            <w:noWrap/>
            <w:vAlign w:val="center"/>
          </w:tcPr>
          <w:p w14:paraId="7DF924C5">
            <w:pPr>
              <w:spacing w:line="500" w:lineRule="exact"/>
              <w:jc w:val="center"/>
              <w:rPr>
                <w:rFonts w:ascii="方正仿宋_GBK" w:eastAsia="方正仿宋_GBK"/>
                <w:sz w:val="24"/>
              </w:rPr>
            </w:pPr>
          </w:p>
        </w:tc>
        <w:tc>
          <w:tcPr>
            <w:tcW w:w="873" w:type="dxa"/>
            <w:tcBorders>
              <w:bottom w:val="single" w:color="auto" w:sz="4" w:space="0"/>
            </w:tcBorders>
            <w:noWrap/>
            <w:vAlign w:val="center"/>
          </w:tcPr>
          <w:p w14:paraId="6F0A8230">
            <w:pPr>
              <w:spacing w:line="500" w:lineRule="exact"/>
              <w:jc w:val="center"/>
              <w:rPr>
                <w:rFonts w:ascii="方正仿宋_GBK" w:eastAsia="方正仿宋_GBK"/>
                <w:sz w:val="24"/>
              </w:rPr>
            </w:pPr>
          </w:p>
        </w:tc>
        <w:tc>
          <w:tcPr>
            <w:tcW w:w="899" w:type="dxa"/>
            <w:tcBorders>
              <w:bottom w:val="single" w:color="auto" w:sz="4" w:space="0"/>
            </w:tcBorders>
            <w:noWrap/>
            <w:vAlign w:val="center"/>
          </w:tcPr>
          <w:p w14:paraId="769D47A9">
            <w:pPr>
              <w:spacing w:line="500" w:lineRule="exact"/>
              <w:jc w:val="center"/>
              <w:rPr>
                <w:rFonts w:ascii="方正仿宋_GBK" w:eastAsia="方正仿宋_GBK"/>
                <w:sz w:val="24"/>
              </w:rPr>
            </w:pPr>
          </w:p>
        </w:tc>
        <w:tc>
          <w:tcPr>
            <w:tcW w:w="1575" w:type="dxa"/>
            <w:tcBorders>
              <w:bottom w:val="single" w:color="auto" w:sz="4" w:space="0"/>
            </w:tcBorders>
            <w:noWrap/>
            <w:vAlign w:val="center"/>
          </w:tcPr>
          <w:p w14:paraId="347A8F0D">
            <w:pPr>
              <w:spacing w:line="500" w:lineRule="exact"/>
              <w:jc w:val="center"/>
              <w:rPr>
                <w:rFonts w:ascii="方正仿宋_GBK" w:eastAsia="方正仿宋_GBK"/>
                <w:sz w:val="24"/>
              </w:rPr>
            </w:pPr>
          </w:p>
        </w:tc>
        <w:tc>
          <w:tcPr>
            <w:tcW w:w="2211" w:type="dxa"/>
            <w:tcBorders>
              <w:bottom w:val="single" w:color="auto" w:sz="4" w:space="0"/>
            </w:tcBorders>
            <w:noWrap/>
            <w:vAlign w:val="center"/>
          </w:tcPr>
          <w:p w14:paraId="4D7980AF">
            <w:pPr>
              <w:spacing w:line="500" w:lineRule="exact"/>
              <w:jc w:val="center"/>
              <w:rPr>
                <w:rFonts w:ascii="方正仿宋_GBK" w:eastAsia="方正仿宋_GBK"/>
                <w:sz w:val="24"/>
              </w:rPr>
            </w:pPr>
          </w:p>
        </w:tc>
      </w:tr>
      <w:tr w14:paraId="57A3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ign w:val="center"/>
          </w:tcPr>
          <w:p w14:paraId="50BCB67B">
            <w:pPr>
              <w:spacing w:line="500" w:lineRule="exact"/>
              <w:jc w:val="center"/>
              <w:rPr>
                <w:rFonts w:ascii="方正仿宋_GBK" w:eastAsia="方正仿宋_GBK"/>
                <w:sz w:val="24"/>
              </w:rPr>
            </w:pPr>
          </w:p>
        </w:tc>
        <w:tc>
          <w:tcPr>
            <w:tcW w:w="1741" w:type="dxa"/>
            <w:noWrap/>
            <w:vAlign w:val="center"/>
          </w:tcPr>
          <w:p w14:paraId="656C140B">
            <w:pPr>
              <w:spacing w:line="500" w:lineRule="exact"/>
              <w:jc w:val="center"/>
              <w:rPr>
                <w:rFonts w:ascii="方正仿宋_GBK" w:eastAsia="方正仿宋_GBK"/>
                <w:sz w:val="24"/>
              </w:rPr>
            </w:pPr>
          </w:p>
        </w:tc>
        <w:tc>
          <w:tcPr>
            <w:tcW w:w="984" w:type="dxa"/>
            <w:noWrap/>
            <w:vAlign w:val="center"/>
          </w:tcPr>
          <w:p w14:paraId="406AFD48">
            <w:pPr>
              <w:spacing w:line="500" w:lineRule="exact"/>
              <w:jc w:val="center"/>
              <w:rPr>
                <w:rFonts w:ascii="方正仿宋_GBK" w:eastAsia="方正仿宋_GBK"/>
                <w:sz w:val="24"/>
              </w:rPr>
            </w:pPr>
          </w:p>
        </w:tc>
        <w:tc>
          <w:tcPr>
            <w:tcW w:w="873" w:type="dxa"/>
            <w:noWrap/>
            <w:vAlign w:val="center"/>
          </w:tcPr>
          <w:p w14:paraId="5E58732C">
            <w:pPr>
              <w:spacing w:line="500" w:lineRule="exact"/>
              <w:jc w:val="center"/>
              <w:rPr>
                <w:rFonts w:ascii="方正仿宋_GBK" w:eastAsia="方正仿宋_GBK"/>
                <w:sz w:val="24"/>
              </w:rPr>
            </w:pPr>
          </w:p>
        </w:tc>
        <w:tc>
          <w:tcPr>
            <w:tcW w:w="899" w:type="dxa"/>
            <w:noWrap/>
            <w:vAlign w:val="center"/>
          </w:tcPr>
          <w:p w14:paraId="2841FA19">
            <w:pPr>
              <w:spacing w:line="500" w:lineRule="exact"/>
              <w:jc w:val="center"/>
              <w:rPr>
                <w:rFonts w:ascii="方正仿宋_GBK" w:eastAsia="方正仿宋_GBK"/>
                <w:sz w:val="24"/>
              </w:rPr>
            </w:pPr>
          </w:p>
        </w:tc>
        <w:tc>
          <w:tcPr>
            <w:tcW w:w="1575" w:type="dxa"/>
            <w:noWrap/>
            <w:vAlign w:val="center"/>
          </w:tcPr>
          <w:p w14:paraId="752BA020">
            <w:pPr>
              <w:spacing w:line="500" w:lineRule="exact"/>
              <w:jc w:val="center"/>
              <w:rPr>
                <w:rFonts w:ascii="方正仿宋_GBK" w:eastAsia="方正仿宋_GBK"/>
                <w:sz w:val="24"/>
              </w:rPr>
            </w:pPr>
          </w:p>
        </w:tc>
        <w:tc>
          <w:tcPr>
            <w:tcW w:w="2211" w:type="dxa"/>
            <w:noWrap/>
            <w:vAlign w:val="center"/>
          </w:tcPr>
          <w:p w14:paraId="61483174">
            <w:pPr>
              <w:spacing w:line="500" w:lineRule="exact"/>
              <w:jc w:val="center"/>
              <w:rPr>
                <w:rFonts w:ascii="方正仿宋_GBK" w:eastAsia="方正仿宋_GBK"/>
                <w:sz w:val="24"/>
              </w:rPr>
            </w:pPr>
          </w:p>
        </w:tc>
      </w:tr>
      <w:tr w14:paraId="6601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ign w:val="center"/>
          </w:tcPr>
          <w:p w14:paraId="5093F34D">
            <w:pPr>
              <w:spacing w:line="500" w:lineRule="exact"/>
              <w:rPr>
                <w:rFonts w:ascii="方正仿宋_GBK" w:eastAsia="方正仿宋_GBK"/>
                <w:sz w:val="24"/>
              </w:rPr>
            </w:pPr>
            <w:r>
              <w:rPr>
                <w:rFonts w:hint="eastAsia" w:ascii="方正仿宋_GBK" w:eastAsia="方正仿宋_GBK"/>
                <w:sz w:val="24"/>
              </w:rPr>
              <w:t>合计人民币（小写）：</w:t>
            </w:r>
          </w:p>
        </w:tc>
      </w:tr>
      <w:tr w14:paraId="1A1D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ign w:val="center"/>
          </w:tcPr>
          <w:p w14:paraId="1ECC18A8">
            <w:pPr>
              <w:spacing w:line="500" w:lineRule="exact"/>
              <w:rPr>
                <w:rFonts w:ascii="方正仿宋_GBK" w:eastAsia="方正仿宋_GBK"/>
                <w:sz w:val="24"/>
              </w:rPr>
            </w:pPr>
            <w:r>
              <w:rPr>
                <w:rFonts w:hint="eastAsia" w:ascii="方正仿宋_GBK" w:eastAsia="方正仿宋_GBK"/>
                <w:sz w:val="24"/>
              </w:rPr>
              <w:t>合计人民币（大写）：</w:t>
            </w:r>
          </w:p>
        </w:tc>
      </w:tr>
      <w:tr w14:paraId="5C54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tcPr>
          <w:p w14:paraId="7183E7CD">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29C1FA3C">
            <w:pPr>
              <w:spacing w:line="500" w:lineRule="exact"/>
              <w:rPr>
                <w:rFonts w:ascii="方正仿宋_GBK" w:eastAsia="方正仿宋_GBK"/>
                <w:sz w:val="24"/>
              </w:rPr>
            </w:pPr>
            <w:r>
              <w:rPr>
                <w:rFonts w:hint="eastAsia" w:ascii="方正仿宋_GBK" w:eastAsia="方正仿宋_GBK"/>
                <w:sz w:val="24"/>
              </w:rPr>
              <w:t>1.质保期限：</w:t>
            </w:r>
          </w:p>
          <w:p w14:paraId="41C388F5">
            <w:pPr>
              <w:spacing w:line="500" w:lineRule="exact"/>
              <w:rPr>
                <w:rFonts w:ascii="方正仿宋_GBK" w:eastAsia="方正仿宋_GBK"/>
                <w:sz w:val="24"/>
              </w:rPr>
            </w:pPr>
            <w:r>
              <w:rPr>
                <w:rFonts w:hint="eastAsia" w:ascii="方正仿宋_GBK" w:eastAsia="方正仿宋_GBK"/>
                <w:sz w:val="24"/>
              </w:rPr>
              <w:t>2.保修范围：</w:t>
            </w:r>
          </w:p>
          <w:p w14:paraId="03C713CB">
            <w:pPr>
              <w:spacing w:line="500" w:lineRule="exact"/>
              <w:rPr>
                <w:rFonts w:ascii="方正仿宋_GBK" w:eastAsia="方正仿宋_GBK"/>
                <w:sz w:val="24"/>
              </w:rPr>
            </w:pPr>
            <w:r>
              <w:rPr>
                <w:rFonts w:hint="eastAsia" w:ascii="方正仿宋_GBK" w:eastAsia="方正仿宋_GBK"/>
                <w:sz w:val="24"/>
              </w:rPr>
              <w:t>3.服务措施：</w:t>
            </w:r>
          </w:p>
          <w:p w14:paraId="60283197">
            <w:pPr>
              <w:spacing w:line="500" w:lineRule="exact"/>
              <w:rPr>
                <w:rFonts w:ascii="方正仿宋_GBK" w:eastAsia="方正仿宋_GBK"/>
                <w:sz w:val="24"/>
              </w:rPr>
            </w:pPr>
            <w:r>
              <w:rPr>
                <w:rFonts w:hint="eastAsia" w:ascii="方正仿宋_GBK" w:eastAsia="方正仿宋_GBK"/>
                <w:sz w:val="24"/>
              </w:rPr>
              <w:t>4.质保期后服务：</w:t>
            </w:r>
          </w:p>
        </w:tc>
      </w:tr>
      <w:tr w14:paraId="3267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tcPr>
          <w:p w14:paraId="277E23DA">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731D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tcPr>
          <w:p w14:paraId="03436696">
            <w:pPr>
              <w:spacing w:line="500" w:lineRule="exact"/>
              <w:rPr>
                <w:rFonts w:ascii="方正仿宋_GBK" w:eastAsia="方正仿宋_GBK"/>
                <w:sz w:val="24"/>
              </w:rPr>
            </w:pPr>
            <w:r>
              <w:rPr>
                <w:rFonts w:hint="eastAsia" w:ascii="方正仿宋_GBK" w:eastAsia="方正仿宋_GBK"/>
                <w:sz w:val="24"/>
              </w:rPr>
              <w:t>三、交提货方式：</w:t>
            </w:r>
          </w:p>
        </w:tc>
      </w:tr>
      <w:tr w14:paraId="016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tcPr>
          <w:p w14:paraId="3B02A137">
            <w:pPr>
              <w:spacing w:line="500" w:lineRule="exact"/>
              <w:rPr>
                <w:rFonts w:ascii="方正仿宋_GBK" w:eastAsia="方正仿宋_GBK"/>
                <w:sz w:val="24"/>
              </w:rPr>
            </w:pPr>
            <w:r>
              <w:rPr>
                <w:rFonts w:hint="eastAsia" w:ascii="方正仿宋_GBK" w:eastAsia="方正仿宋_GBK"/>
                <w:sz w:val="24"/>
              </w:rPr>
              <w:t>四、验收标准、方法：</w:t>
            </w:r>
          </w:p>
          <w:p w14:paraId="4548452D">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007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tcPr>
          <w:p w14:paraId="31C31C45">
            <w:pPr>
              <w:pStyle w:val="32"/>
              <w:spacing w:line="500" w:lineRule="exact"/>
              <w:rPr>
                <w:rFonts w:ascii="方正仿宋_GBK" w:eastAsia="方正仿宋_GBK"/>
                <w:sz w:val="24"/>
              </w:rPr>
            </w:pPr>
            <w:r>
              <w:rPr>
                <w:rFonts w:hint="eastAsia" w:ascii="方正仿宋_GBK" w:eastAsia="方正仿宋_GBK"/>
                <w:sz w:val="24"/>
              </w:rPr>
              <w:t>五、履约保证金：</w:t>
            </w:r>
          </w:p>
        </w:tc>
      </w:tr>
      <w:tr w14:paraId="653D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tcPr>
          <w:p w14:paraId="2166517B">
            <w:pPr>
              <w:spacing w:line="500" w:lineRule="exact"/>
              <w:rPr>
                <w:rFonts w:ascii="方正仿宋_GBK" w:eastAsia="方正仿宋_GBK"/>
                <w:sz w:val="24"/>
              </w:rPr>
            </w:pPr>
            <w:r>
              <w:rPr>
                <w:rFonts w:hint="eastAsia" w:ascii="方正仿宋_GBK" w:eastAsia="方正仿宋_GBK"/>
                <w:sz w:val="24"/>
              </w:rPr>
              <w:t>六、付款方式：</w:t>
            </w:r>
          </w:p>
          <w:p w14:paraId="722ECC45">
            <w:pPr>
              <w:pStyle w:val="32"/>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14:paraId="190E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tcPr>
          <w:p w14:paraId="13231560">
            <w:pPr>
              <w:spacing w:line="500" w:lineRule="exact"/>
              <w:rPr>
                <w:rFonts w:ascii="方正仿宋_GBK" w:eastAsia="方正仿宋_GBK"/>
                <w:sz w:val="24"/>
              </w:rPr>
            </w:pPr>
            <w:r>
              <w:rPr>
                <w:rFonts w:hint="eastAsia" w:ascii="方正仿宋_GBK" w:eastAsia="方正仿宋_GBK"/>
                <w:sz w:val="24"/>
              </w:rPr>
              <w:t>七、违约责任：</w:t>
            </w:r>
          </w:p>
          <w:p w14:paraId="1BBA32B3">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03EF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tcPr>
          <w:p w14:paraId="3784220F">
            <w:pPr>
              <w:spacing w:line="500" w:lineRule="exact"/>
              <w:rPr>
                <w:rFonts w:ascii="方正仿宋_GBK" w:eastAsia="方正仿宋_GBK"/>
                <w:sz w:val="24"/>
              </w:rPr>
            </w:pPr>
            <w:r>
              <w:rPr>
                <w:rFonts w:hint="eastAsia" w:ascii="方正仿宋_GBK" w:eastAsia="方正仿宋_GBK"/>
                <w:sz w:val="24"/>
              </w:rPr>
              <w:t>八、其他约定事项：</w:t>
            </w:r>
          </w:p>
          <w:p w14:paraId="198AC18C">
            <w:pPr>
              <w:tabs>
                <w:tab w:val="left" w:pos="360"/>
              </w:tabs>
              <w:spacing w:line="500" w:lineRule="exact"/>
              <w:rPr>
                <w:rFonts w:ascii="方正仿宋_GBK" w:eastAsia="方正仿宋_GBK"/>
                <w:sz w:val="24"/>
              </w:rPr>
            </w:pPr>
            <w:r>
              <w:rPr>
                <w:rFonts w:hint="eastAsia" w:ascii="方正仿宋_GBK" w:eastAsia="方正仿宋_GBK"/>
                <w:sz w:val="24"/>
              </w:rPr>
              <w:t>1.竞争性谈判文件及其澄清文件、响应文件和承诺是本合同不可分割的部分。</w:t>
            </w:r>
          </w:p>
          <w:p w14:paraId="66BB881B">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2.本合同如发生争议由双方协商解决，协商不成向需方所在地仲裁机构提请仲裁/协商不成向需方所在人民法院提请诉讼。（采购人应按项目实际情况完整填写）</w:t>
            </w:r>
          </w:p>
          <w:p w14:paraId="7AE1FF4B">
            <w:pPr>
              <w:tabs>
                <w:tab w:val="left" w:pos="360"/>
              </w:tabs>
              <w:spacing w:line="500" w:lineRule="exact"/>
              <w:rPr>
                <w:rFonts w:ascii="方正仿宋_GBK" w:eastAsia="方正仿宋_GBK"/>
                <w:sz w:val="24"/>
              </w:rPr>
            </w:pPr>
            <w:r>
              <w:rPr>
                <w:rFonts w:hint="eastAsia" w:ascii="方正仿宋_GBK" w:eastAsia="方正仿宋_GBK"/>
                <w:sz w:val="24"/>
              </w:rPr>
              <w:t>3.本合同一式_</w:t>
            </w:r>
            <w:r>
              <w:rPr>
                <w:rFonts w:hint="eastAsia" w:ascii="方正仿宋_GBK" w:eastAsia="方正仿宋_GBK"/>
                <w:sz w:val="24"/>
                <w:lang w:val="en-US" w:eastAsia="zh-CN"/>
              </w:rPr>
              <w:t>肆</w:t>
            </w:r>
            <w:r>
              <w:rPr>
                <w:rFonts w:hint="eastAsia" w:ascii="方正仿宋_GBK" w:eastAsia="方正仿宋_GBK"/>
                <w:sz w:val="24"/>
              </w:rPr>
              <w:t>_份， 需方_</w:t>
            </w:r>
            <w:r>
              <w:rPr>
                <w:rFonts w:hint="eastAsia" w:ascii="方正仿宋_GBK" w:eastAsia="方正仿宋_GBK"/>
                <w:sz w:val="24"/>
                <w:lang w:val="en-US" w:eastAsia="zh-CN"/>
              </w:rPr>
              <w:t>叁</w:t>
            </w:r>
            <w:r>
              <w:rPr>
                <w:rFonts w:hint="eastAsia" w:ascii="方正仿宋_GBK" w:eastAsia="方正仿宋_GBK"/>
                <w:sz w:val="24"/>
              </w:rPr>
              <w:t>_份，供方_</w:t>
            </w:r>
            <w:r>
              <w:rPr>
                <w:rFonts w:hint="eastAsia" w:ascii="方正仿宋_GBK" w:eastAsia="方正仿宋_GBK"/>
                <w:sz w:val="24"/>
                <w:lang w:val="en-US" w:eastAsia="zh-CN"/>
              </w:rPr>
              <w:t>壹</w:t>
            </w:r>
            <w:r>
              <w:rPr>
                <w:rFonts w:hint="eastAsia" w:ascii="方正仿宋_GBK" w:eastAsia="方正仿宋_GBK"/>
                <w:sz w:val="24"/>
              </w:rPr>
              <w:t>_份，具同等法律效力。</w:t>
            </w:r>
          </w:p>
          <w:p w14:paraId="6C79878B">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4137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tcPr>
          <w:p w14:paraId="496566D3">
            <w:pPr>
              <w:spacing w:line="500" w:lineRule="exact"/>
              <w:rPr>
                <w:rFonts w:ascii="方正仿宋_GBK" w:eastAsia="方正仿宋_GBK"/>
                <w:sz w:val="24"/>
              </w:rPr>
            </w:pPr>
            <w:r>
              <w:rPr>
                <w:rFonts w:hint="eastAsia" w:ascii="方正仿宋_GBK" w:eastAsia="方正仿宋_GBK"/>
                <w:sz w:val="24"/>
              </w:rPr>
              <w:t>需方：</w:t>
            </w:r>
          </w:p>
          <w:p w14:paraId="52AC5572">
            <w:pPr>
              <w:spacing w:line="500" w:lineRule="exact"/>
              <w:rPr>
                <w:rFonts w:ascii="方正仿宋_GBK" w:eastAsia="方正仿宋_GBK"/>
                <w:sz w:val="24"/>
              </w:rPr>
            </w:pPr>
            <w:r>
              <w:rPr>
                <w:rFonts w:hint="eastAsia" w:ascii="方正仿宋_GBK" w:eastAsia="方正仿宋_GBK"/>
                <w:sz w:val="24"/>
              </w:rPr>
              <w:t>地址：</w:t>
            </w:r>
          </w:p>
          <w:p w14:paraId="2D7B0A0D">
            <w:pPr>
              <w:spacing w:line="500" w:lineRule="exact"/>
              <w:rPr>
                <w:rFonts w:ascii="方正仿宋_GBK" w:eastAsia="方正仿宋_GBK"/>
                <w:sz w:val="24"/>
              </w:rPr>
            </w:pPr>
            <w:r>
              <w:rPr>
                <w:rFonts w:hint="eastAsia" w:ascii="方正仿宋_GBK" w:eastAsia="方正仿宋_GBK"/>
                <w:sz w:val="24"/>
              </w:rPr>
              <w:t>联系电话：</w:t>
            </w:r>
          </w:p>
          <w:p w14:paraId="27331D15">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noWrap/>
          </w:tcPr>
          <w:p w14:paraId="5667DB81">
            <w:pPr>
              <w:spacing w:line="500" w:lineRule="exact"/>
              <w:rPr>
                <w:rFonts w:ascii="方正仿宋_GBK" w:eastAsia="方正仿宋_GBK"/>
                <w:sz w:val="24"/>
              </w:rPr>
            </w:pPr>
            <w:r>
              <w:rPr>
                <w:rFonts w:hint="eastAsia" w:ascii="方正仿宋_GBK" w:eastAsia="方正仿宋_GBK"/>
                <w:sz w:val="24"/>
              </w:rPr>
              <w:t>供方：</w:t>
            </w:r>
          </w:p>
          <w:p w14:paraId="2C931949">
            <w:pPr>
              <w:spacing w:line="500" w:lineRule="exact"/>
              <w:rPr>
                <w:rFonts w:ascii="方正仿宋_GBK" w:eastAsia="方正仿宋_GBK"/>
                <w:sz w:val="24"/>
              </w:rPr>
            </w:pPr>
            <w:r>
              <w:rPr>
                <w:rFonts w:hint="eastAsia" w:ascii="方正仿宋_GBK" w:eastAsia="方正仿宋_GBK"/>
                <w:sz w:val="24"/>
              </w:rPr>
              <w:t>地址：</w:t>
            </w:r>
          </w:p>
          <w:p w14:paraId="484EF0EB">
            <w:pPr>
              <w:spacing w:line="500" w:lineRule="exact"/>
              <w:rPr>
                <w:rFonts w:ascii="方正仿宋_GBK" w:eastAsia="方正仿宋_GBK"/>
                <w:sz w:val="24"/>
              </w:rPr>
            </w:pPr>
            <w:r>
              <w:rPr>
                <w:rFonts w:hint="eastAsia" w:ascii="方正仿宋_GBK" w:eastAsia="方正仿宋_GBK"/>
                <w:sz w:val="24"/>
              </w:rPr>
              <w:t>电话：</w:t>
            </w:r>
          </w:p>
          <w:p w14:paraId="2265D052">
            <w:pPr>
              <w:spacing w:line="500" w:lineRule="exact"/>
              <w:rPr>
                <w:rFonts w:ascii="方正仿宋_GBK" w:eastAsia="方正仿宋_GBK"/>
                <w:sz w:val="24"/>
              </w:rPr>
            </w:pPr>
            <w:r>
              <w:rPr>
                <w:rFonts w:hint="eastAsia" w:ascii="方正仿宋_GBK" w:eastAsia="方正仿宋_GBK"/>
                <w:sz w:val="24"/>
              </w:rPr>
              <w:t>传真：</w:t>
            </w:r>
          </w:p>
          <w:p w14:paraId="5795162B">
            <w:pPr>
              <w:spacing w:line="500" w:lineRule="exact"/>
              <w:rPr>
                <w:rFonts w:ascii="方正仿宋_GBK" w:eastAsia="方正仿宋_GBK"/>
                <w:sz w:val="24"/>
              </w:rPr>
            </w:pPr>
            <w:r>
              <w:rPr>
                <w:rFonts w:hint="eastAsia" w:ascii="方正仿宋_GBK" w:eastAsia="方正仿宋_GBK"/>
                <w:sz w:val="24"/>
              </w:rPr>
              <w:t>开户银行：</w:t>
            </w:r>
          </w:p>
          <w:p w14:paraId="751E285F">
            <w:pPr>
              <w:spacing w:line="500" w:lineRule="exact"/>
              <w:rPr>
                <w:rFonts w:ascii="方正仿宋_GBK" w:eastAsia="方正仿宋_GBK"/>
                <w:sz w:val="24"/>
              </w:rPr>
            </w:pPr>
            <w:r>
              <w:rPr>
                <w:rFonts w:hint="eastAsia" w:ascii="方正仿宋_GBK" w:eastAsia="方正仿宋_GBK"/>
                <w:sz w:val="24"/>
              </w:rPr>
              <w:t>账号：</w:t>
            </w:r>
          </w:p>
          <w:p w14:paraId="23FB926F">
            <w:pPr>
              <w:spacing w:line="500" w:lineRule="exact"/>
              <w:rPr>
                <w:rFonts w:ascii="方正仿宋_GBK" w:eastAsia="方正仿宋_GBK"/>
                <w:sz w:val="24"/>
              </w:rPr>
            </w:pPr>
            <w:r>
              <w:rPr>
                <w:rFonts w:hint="eastAsia" w:ascii="方正仿宋_GBK" w:eastAsia="方正仿宋_GBK"/>
                <w:sz w:val="24"/>
              </w:rPr>
              <w:t>授权代表：</w:t>
            </w:r>
          </w:p>
          <w:p w14:paraId="71C4E9FF">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1113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tcPr>
          <w:p w14:paraId="2C3ED580">
            <w:pPr>
              <w:spacing w:line="500" w:lineRule="exact"/>
              <w:rPr>
                <w:rFonts w:ascii="方正仿宋_GBK" w:eastAsia="方正仿宋_GBK"/>
                <w:sz w:val="24"/>
              </w:rPr>
            </w:pPr>
            <w:r>
              <w:rPr>
                <w:rFonts w:hint="eastAsia" w:ascii="方正仿宋_GBK" w:eastAsia="方正仿宋_GBK"/>
                <w:sz w:val="24"/>
              </w:rPr>
              <w:t>备注：</w:t>
            </w:r>
          </w:p>
          <w:p w14:paraId="27AE8415">
            <w:pPr>
              <w:spacing w:line="500" w:lineRule="exact"/>
              <w:rPr>
                <w:rFonts w:ascii="方正仿宋_GBK" w:eastAsia="方正仿宋_GBK"/>
                <w:sz w:val="24"/>
              </w:rPr>
            </w:pPr>
          </w:p>
          <w:p w14:paraId="36D20C05">
            <w:pPr>
              <w:spacing w:line="500" w:lineRule="exact"/>
              <w:rPr>
                <w:rFonts w:ascii="方正仿宋_GBK" w:eastAsia="方正仿宋_GBK"/>
                <w:sz w:val="24"/>
              </w:rPr>
            </w:pPr>
          </w:p>
        </w:tc>
      </w:tr>
    </w:tbl>
    <w:p w14:paraId="5C12B9EE">
      <w:pPr>
        <w:spacing w:line="400" w:lineRule="exact"/>
        <w:ind w:right="12" w:firstLine="480"/>
        <w:rPr>
          <w:rFonts w:ascii="宋体" w:hAnsi="宋体" w:cs="宋体"/>
          <w:sz w:val="24"/>
        </w:rPr>
      </w:pPr>
      <w:r>
        <w:rPr>
          <w:rFonts w:hint="eastAsia" w:ascii="方正仿宋_GBK" w:eastAsia="方正仿宋_GBK"/>
          <w:sz w:val="24"/>
        </w:rPr>
        <w:t>签约时间：           年   月   日      签约地点：</w:t>
      </w:r>
    </w:p>
    <w:p w14:paraId="3A983CE1">
      <w:pPr>
        <w:pStyle w:val="2"/>
        <w:rPr>
          <w:rFonts w:cs="宋体"/>
          <w:bCs/>
        </w:rPr>
      </w:pPr>
      <w:bookmarkStart w:id="239" w:name="_Hlt41879464"/>
      <w:bookmarkEnd w:id="239"/>
      <w:bookmarkStart w:id="240" w:name="_Toc24879"/>
      <w:bookmarkStart w:id="241" w:name="_Toc9538"/>
      <w:bookmarkStart w:id="242" w:name="_Toc15743"/>
      <w:bookmarkStart w:id="243" w:name="_Toc6968"/>
      <w:bookmarkStart w:id="244" w:name="_Toc20892"/>
      <w:bookmarkStart w:id="245" w:name="_Toc65660378"/>
      <w:bookmarkStart w:id="246" w:name="_Toc10503"/>
      <w:bookmarkStart w:id="247" w:name="_Toc12789072"/>
      <w:r>
        <w:rPr>
          <w:rFonts w:hint="eastAsia" w:cs="宋体"/>
          <w:bCs/>
        </w:rPr>
        <w:t>第七篇  响应文件格式要求</w:t>
      </w:r>
      <w:bookmarkEnd w:id="240"/>
      <w:bookmarkEnd w:id="241"/>
      <w:bookmarkEnd w:id="242"/>
      <w:bookmarkEnd w:id="243"/>
      <w:bookmarkEnd w:id="244"/>
      <w:bookmarkEnd w:id="245"/>
      <w:bookmarkEnd w:id="246"/>
      <w:bookmarkEnd w:id="247"/>
    </w:p>
    <w:p w14:paraId="41C9064F">
      <w:pPr>
        <w:spacing w:line="400" w:lineRule="exact"/>
        <w:ind w:firstLine="482" w:firstLineChars="200"/>
        <w:rPr>
          <w:rFonts w:ascii="宋体" w:hAnsi="宋体" w:cs="宋体"/>
          <w:b/>
          <w:sz w:val="24"/>
          <w:szCs w:val="24"/>
        </w:rPr>
      </w:pPr>
      <w:r>
        <w:rPr>
          <w:rFonts w:hint="eastAsia" w:ascii="宋体" w:hAnsi="宋体" w:cs="宋体"/>
          <w:b/>
          <w:sz w:val="24"/>
          <w:szCs w:val="24"/>
        </w:rPr>
        <w:t>一、经济部分</w:t>
      </w:r>
    </w:p>
    <w:p w14:paraId="417E3F19">
      <w:pPr>
        <w:spacing w:line="400" w:lineRule="exact"/>
        <w:ind w:firstLine="480" w:firstLineChars="200"/>
        <w:rPr>
          <w:rFonts w:ascii="宋体" w:hAnsi="宋体" w:cs="宋体"/>
          <w:sz w:val="24"/>
          <w:szCs w:val="24"/>
        </w:rPr>
      </w:pPr>
      <w:r>
        <w:rPr>
          <w:rFonts w:hint="eastAsia" w:ascii="宋体" w:hAnsi="宋体" w:cs="宋体"/>
          <w:sz w:val="24"/>
          <w:szCs w:val="24"/>
        </w:rPr>
        <w:t>（一）竞争性报价函</w:t>
      </w:r>
    </w:p>
    <w:p w14:paraId="21C43A64">
      <w:pPr>
        <w:spacing w:line="400" w:lineRule="exact"/>
        <w:ind w:firstLine="480" w:firstLineChars="200"/>
        <w:rPr>
          <w:rFonts w:ascii="宋体" w:hAnsi="宋体" w:cs="宋体"/>
          <w:sz w:val="24"/>
          <w:szCs w:val="24"/>
        </w:rPr>
      </w:pPr>
      <w:r>
        <w:rPr>
          <w:rFonts w:hint="eastAsia" w:ascii="宋体" w:hAnsi="宋体" w:cs="宋体"/>
          <w:sz w:val="24"/>
          <w:szCs w:val="24"/>
        </w:rPr>
        <w:t>（二）已标价工程量清单</w:t>
      </w:r>
    </w:p>
    <w:p w14:paraId="564EB32C">
      <w:pPr>
        <w:spacing w:line="400" w:lineRule="exact"/>
        <w:ind w:firstLine="482" w:firstLineChars="200"/>
        <w:rPr>
          <w:rFonts w:ascii="宋体" w:hAnsi="宋体" w:cs="宋体"/>
          <w:b/>
          <w:sz w:val="24"/>
          <w:szCs w:val="24"/>
        </w:rPr>
      </w:pPr>
      <w:r>
        <w:rPr>
          <w:rFonts w:hint="eastAsia" w:ascii="宋体" w:hAnsi="宋体" w:cs="宋体"/>
          <w:b/>
          <w:sz w:val="24"/>
          <w:szCs w:val="24"/>
        </w:rPr>
        <w:t>二、服务部分</w:t>
      </w:r>
    </w:p>
    <w:p w14:paraId="7AC98841">
      <w:pPr>
        <w:pStyle w:val="33"/>
        <w:spacing w:line="400" w:lineRule="exact"/>
        <w:ind w:firstLine="480" w:firstLineChars="200"/>
        <w:rPr>
          <w:rFonts w:ascii="宋体" w:hAnsi="宋体" w:cs="宋体"/>
          <w:sz w:val="24"/>
          <w:szCs w:val="24"/>
        </w:rPr>
      </w:pPr>
      <w:r>
        <w:rPr>
          <w:rFonts w:hint="eastAsia" w:ascii="宋体" w:hAnsi="宋体" w:cs="宋体"/>
          <w:sz w:val="24"/>
          <w:szCs w:val="24"/>
        </w:rPr>
        <w:t>（一）服务响应偏离表</w:t>
      </w:r>
    </w:p>
    <w:p w14:paraId="7B72354F">
      <w:pPr>
        <w:pStyle w:val="33"/>
        <w:spacing w:line="400" w:lineRule="exact"/>
        <w:ind w:firstLine="480" w:firstLineChars="200"/>
        <w:rPr>
          <w:rFonts w:ascii="宋体" w:hAnsi="宋体" w:cs="宋体"/>
          <w:sz w:val="24"/>
          <w:szCs w:val="24"/>
        </w:rPr>
      </w:pPr>
      <w:r>
        <w:rPr>
          <w:rFonts w:hint="eastAsia" w:ascii="宋体" w:hAnsi="宋体" w:cs="宋体"/>
          <w:sz w:val="24"/>
          <w:szCs w:val="24"/>
        </w:rPr>
        <w:t>（二）其它（格式自定）</w:t>
      </w:r>
    </w:p>
    <w:p w14:paraId="66E285FD">
      <w:pPr>
        <w:spacing w:line="400" w:lineRule="exact"/>
        <w:ind w:firstLine="482" w:firstLineChars="200"/>
        <w:rPr>
          <w:rFonts w:ascii="宋体" w:hAnsi="宋体" w:cs="宋体"/>
          <w:b/>
          <w:sz w:val="24"/>
          <w:szCs w:val="24"/>
        </w:rPr>
      </w:pPr>
      <w:r>
        <w:rPr>
          <w:rFonts w:hint="eastAsia" w:ascii="宋体" w:hAnsi="宋体" w:cs="宋体"/>
          <w:b/>
          <w:sz w:val="24"/>
          <w:szCs w:val="24"/>
        </w:rPr>
        <w:t>三、商务部分</w:t>
      </w:r>
    </w:p>
    <w:p w14:paraId="4CE8853B">
      <w:pPr>
        <w:spacing w:line="40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5EDB0F82">
      <w:pPr>
        <w:spacing w:line="400" w:lineRule="exact"/>
        <w:ind w:firstLine="480" w:firstLineChars="200"/>
        <w:rPr>
          <w:rFonts w:ascii="宋体" w:hAnsi="宋体" w:cs="宋体"/>
          <w:sz w:val="24"/>
          <w:szCs w:val="24"/>
        </w:rPr>
      </w:pPr>
      <w:r>
        <w:rPr>
          <w:rFonts w:hint="eastAsia" w:ascii="宋体" w:hAnsi="宋体" w:cs="宋体"/>
          <w:sz w:val="24"/>
          <w:szCs w:val="24"/>
        </w:rPr>
        <w:t>（二）其他优惠承诺（格式自定）</w:t>
      </w:r>
    </w:p>
    <w:p w14:paraId="53B427C4">
      <w:pPr>
        <w:spacing w:line="400" w:lineRule="exact"/>
        <w:ind w:firstLine="482" w:firstLineChars="200"/>
        <w:rPr>
          <w:rFonts w:ascii="宋体" w:hAnsi="宋体" w:cs="宋体"/>
          <w:b/>
          <w:sz w:val="24"/>
          <w:szCs w:val="24"/>
        </w:rPr>
      </w:pPr>
      <w:r>
        <w:rPr>
          <w:rFonts w:hint="eastAsia" w:ascii="宋体" w:hAnsi="宋体" w:cs="宋体"/>
          <w:b/>
          <w:sz w:val="24"/>
          <w:szCs w:val="24"/>
        </w:rPr>
        <w:t>四、资格条件及其他</w:t>
      </w:r>
    </w:p>
    <w:p w14:paraId="3FBB58B4">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E1C3BA3">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0BB43E6B">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4A523EA3">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670F3AE6">
      <w:pPr>
        <w:pStyle w:val="33"/>
        <w:spacing w:line="400" w:lineRule="exact"/>
        <w:ind w:firstLine="480" w:firstLineChars="200"/>
        <w:rPr>
          <w:rFonts w:ascii="宋体" w:hAnsi="宋体" w:cs="宋体"/>
          <w:sz w:val="24"/>
          <w:szCs w:val="24"/>
        </w:rPr>
      </w:pPr>
      <w:r>
        <w:rPr>
          <w:rFonts w:hint="eastAsia" w:ascii="宋体" w:hAnsi="宋体" w:cs="宋体"/>
          <w:sz w:val="24"/>
          <w:szCs w:val="24"/>
        </w:rPr>
        <w:t>（五）特定资格条件证书</w:t>
      </w:r>
    </w:p>
    <w:p w14:paraId="56A2F0A4">
      <w:pPr>
        <w:spacing w:line="400" w:lineRule="exact"/>
        <w:ind w:firstLine="482" w:firstLineChars="200"/>
        <w:rPr>
          <w:rFonts w:ascii="宋体" w:hAnsi="宋体" w:cs="宋体"/>
          <w:b/>
          <w:sz w:val="24"/>
          <w:szCs w:val="24"/>
        </w:rPr>
      </w:pPr>
      <w:r>
        <w:rPr>
          <w:rFonts w:hint="eastAsia" w:ascii="宋体" w:hAnsi="宋体" w:cs="宋体"/>
          <w:b/>
          <w:sz w:val="24"/>
          <w:szCs w:val="24"/>
        </w:rPr>
        <w:t>五、其他资料</w:t>
      </w:r>
    </w:p>
    <w:p w14:paraId="48D0D9D2">
      <w:pPr>
        <w:spacing w:line="400" w:lineRule="exact"/>
        <w:ind w:firstLine="480" w:firstLineChars="200"/>
        <w:rPr>
          <w:rFonts w:ascii="宋体" w:hAnsi="宋体" w:cs="宋体"/>
          <w:b/>
          <w:sz w:val="24"/>
          <w:szCs w:val="24"/>
        </w:rPr>
      </w:pPr>
      <w:r>
        <w:rPr>
          <w:rFonts w:hint="eastAsia" w:ascii="宋体" w:hAnsi="宋体" w:cs="宋体"/>
          <w:sz w:val="24"/>
          <w:szCs w:val="24"/>
        </w:rPr>
        <w:t>（一）中小企业声明函、监狱企业证明文件、残疾人福利性单位声明函</w:t>
      </w:r>
    </w:p>
    <w:p w14:paraId="6B677290">
      <w:pPr>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4EDCFB0F">
      <w:pPr>
        <w:snapToGrid w:val="0"/>
        <w:spacing w:line="360" w:lineRule="auto"/>
        <w:rPr>
          <w:rFonts w:ascii="宋体" w:hAnsi="宋体" w:cs="宋体"/>
          <w:sz w:val="24"/>
          <w:szCs w:val="24"/>
          <w:bdr w:val="single" w:color="auto" w:sz="4" w:space="0"/>
        </w:rPr>
        <w:sectPr>
          <w:footerReference r:id="rId8" w:type="default"/>
          <w:pgSz w:w="11907" w:h="16840"/>
          <w:pgMar w:top="1134" w:right="1191" w:bottom="1134" w:left="1304" w:header="851" w:footer="992" w:gutter="0"/>
          <w:pgNumType w:fmt="numberInDash"/>
          <w:cols w:space="720" w:num="1"/>
          <w:docGrid w:linePitch="380" w:charSpace="-5735"/>
        </w:sectPr>
      </w:pPr>
    </w:p>
    <w:p w14:paraId="32D44600">
      <w:pPr>
        <w:pStyle w:val="3"/>
        <w:adjustRightInd w:val="0"/>
        <w:snapToGrid w:val="0"/>
        <w:spacing w:before="0" w:after="0" w:line="400" w:lineRule="exact"/>
        <w:ind w:firstLine="482" w:firstLineChars="200"/>
        <w:rPr>
          <w:rFonts w:ascii="宋体" w:hAnsi="宋体" w:cs="宋体"/>
        </w:rPr>
      </w:pPr>
      <w:bookmarkStart w:id="248" w:name="_Toc21149"/>
      <w:bookmarkStart w:id="249" w:name="_Toc5964"/>
      <w:bookmarkStart w:id="250" w:name="_Toc313888360"/>
      <w:bookmarkStart w:id="251" w:name="_Toc26343"/>
      <w:bookmarkStart w:id="252" w:name="_Toc14244"/>
      <w:bookmarkStart w:id="253" w:name="_Toc65660379"/>
      <w:bookmarkStart w:id="254" w:name="_Toc313008356"/>
      <w:bookmarkStart w:id="255" w:name="_Toc32533"/>
      <w:bookmarkStart w:id="256" w:name="_Toc342913419"/>
      <w:bookmarkStart w:id="257" w:name="_Toc12541"/>
      <w:bookmarkStart w:id="258" w:name="_Toc12789073"/>
      <w:bookmarkStart w:id="259" w:name="_Toc283382454"/>
      <w:r>
        <w:rPr>
          <w:rFonts w:hint="eastAsia" w:ascii="宋体" w:hAnsi="宋体" w:cs="宋体"/>
        </w:rPr>
        <w:t>一、经济部分</w:t>
      </w:r>
      <w:bookmarkEnd w:id="248"/>
      <w:bookmarkEnd w:id="249"/>
      <w:bookmarkEnd w:id="250"/>
      <w:bookmarkEnd w:id="251"/>
      <w:bookmarkEnd w:id="252"/>
      <w:bookmarkEnd w:id="253"/>
      <w:bookmarkEnd w:id="254"/>
      <w:bookmarkEnd w:id="255"/>
      <w:bookmarkEnd w:id="256"/>
      <w:bookmarkEnd w:id="257"/>
    </w:p>
    <w:bookmarkEnd w:id="258"/>
    <w:bookmarkEnd w:id="259"/>
    <w:p w14:paraId="54A0CA56">
      <w:pPr>
        <w:spacing w:line="400" w:lineRule="exact"/>
        <w:ind w:firstLine="480" w:firstLineChars="200"/>
        <w:rPr>
          <w:rFonts w:ascii="宋体" w:hAnsi="宋体" w:cs="宋体"/>
          <w:sz w:val="24"/>
          <w:szCs w:val="24"/>
        </w:rPr>
      </w:pPr>
      <w:r>
        <w:rPr>
          <w:rFonts w:hint="eastAsia" w:ascii="宋体" w:hAnsi="宋体" w:cs="宋体"/>
          <w:sz w:val="24"/>
          <w:szCs w:val="24"/>
        </w:rPr>
        <w:t>（一）竞争性报价函</w:t>
      </w:r>
    </w:p>
    <w:p w14:paraId="3C4A3602">
      <w:pPr>
        <w:tabs>
          <w:tab w:val="left" w:pos="6300"/>
        </w:tabs>
        <w:snapToGrid w:val="0"/>
        <w:spacing w:line="312" w:lineRule="auto"/>
        <w:ind w:firstLine="562" w:firstLineChars="200"/>
        <w:jc w:val="center"/>
        <w:rPr>
          <w:rFonts w:ascii="宋体" w:hAnsi="宋体" w:cs="宋体"/>
          <w:b/>
          <w:szCs w:val="28"/>
        </w:rPr>
      </w:pPr>
      <w:r>
        <w:rPr>
          <w:rFonts w:hint="eastAsia" w:ascii="宋体" w:hAnsi="宋体" w:cs="宋体"/>
          <w:b/>
          <w:szCs w:val="28"/>
        </w:rPr>
        <w:t>竞争性报价函</w:t>
      </w:r>
    </w:p>
    <w:p w14:paraId="265469CE">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0D9E4E0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我方收到____________________________（谈判项目名称）的竞争性谈判文件，经详细研究，决定参加该谈判项目的竞争谈判。</w:t>
      </w:r>
    </w:p>
    <w:p w14:paraId="504C71DD">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1.愿意按照竞争性谈判文件中的一切要求，提供本项目的技术、货物、服务及商务服务，项目初始报价（总价）为人民币大写：；人民币小写：；安全文明施工费小写：。以我公司最后报价为准。</w:t>
      </w:r>
    </w:p>
    <w:p w14:paraId="6A6693E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2.我方现提交的响应文件为：响应文件正本份，副本份，电子文档份。</w:t>
      </w:r>
    </w:p>
    <w:p w14:paraId="7D86C493">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3.我方承诺：本次谈判的有效期为提交响应文件截止时间起90天。</w:t>
      </w:r>
    </w:p>
    <w:p w14:paraId="27E77904">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4.我方完全理解和接受贵方竞争性谈判文件的一切规定和要求及谈判评审办法。</w:t>
      </w:r>
    </w:p>
    <w:p w14:paraId="32128400">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5.在整个竞争性谈判过程中，我方若有违规行为，接受按照《中华人民共和国政府采购法》和《竞争性谈判文件》之规定给予惩罚。</w:t>
      </w:r>
    </w:p>
    <w:p w14:paraId="5C1DC473">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6.我方若成为成交供应商，将按照最终谈判结果签订合同，并且严格履行合同义务。本承诺函将成为合同不可分割的一部分，与合同具有同等的法律效力。</w:t>
      </w:r>
    </w:p>
    <w:p w14:paraId="40044938">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7.我方同意按竞争性谈判文件规定，交纳竞争性谈判文件要求的保证金。如果我方成为成交供应商，保证在接到成交通知书后，向采购代理机构和交易中心缴纳竞争性谈判文件规定的采购代理服务费和交易服务费。</w:t>
      </w:r>
    </w:p>
    <w:p w14:paraId="162D5AD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5F7632B7">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供应商（公章）或自然人签署：</w:t>
      </w:r>
    </w:p>
    <w:p w14:paraId="681DB29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14:paraId="1A95364E">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14:paraId="0FBCA569">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14:paraId="1A99F7C2">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14:paraId="4A682862">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28BE5016">
      <w:pPr>
        <w:tabs>
          <w:tab w:val="left" w:pos="2895"/>
        </w:tabs>
        <w:spacing w:line="400" w:lineRule="exact"/>
        <w:ind w:firstLine="480" w:firstLineChars="200"/>
        <w:rPr>
          <w:rFonts w:ascii="宋体" w:hAnsi="宋体"/>
          <w:sz w:val="24"/>
          <w:szCs w:val="24"/>
        </w:rPr>
      </w:pPr>
      <w:bookmarkStart w:id="260" w:name="_Toc313888361"/>
      <w:bookmarkStart w:id="261" w:name="_Toc65660380"/>
      <w:bookmarkStart w:id="262" w:name="_Toc29758"/>
      <w:bookmarkStart w:id="263" w:name="_Toc2010"/>
      <w:bookmarkStart w:id="264" w:name="_Toc14073"/>
      <w:bookmarkStart w:id="265" w:name="_Toc342913420"/>
      <w:bookmarkStart w:id="266" w:name="_Toc28620"/>
      <w:bookmarkStart w:id="267" w:name="_Toc22655"/>
      <w:bookmarkStart w:id="268" w:name="_Toc313008357"/>
      <w:r>
        <w:rPr>
          <w:rFonts w:hint="eastAsia" w:ascii="宋体" w:hAnsi="宋体"/>
          <w:sz w:val="24"/>
          <w:szCs w:val="24"/>
        </w:rPr>
        <w:t>（二）</w:t>
      </w:r>
      <w:bookmarkStart w:id="269" w:name="_Hlk106294121"/>
      <w:r>
        <w:rPr>
          <w:rFonts w:hint="eastAsia" w:ascii="宋体" w:hAnsi="宋体"/>
          <w:sz w:val="24"/>
          <w:szCs w:val="24"/>
        </w:rPr>
        <w:t>已标价工程量清单</w:t>
      </w:r>
      <w:bookmarkEnd w:id="269"/>
    </w:p>
    <w:p w14:paraId="0F57D996">
      <w:pPr>
        <w:pStyle w:val="37"/>
        <w:rPr>
          <w:rFonts w:ascii="宋体" w:hAnsi="宋体" w:cs="宋体"/>
          <w:sz w:val="18"/>
          <w:szCs w:val="18"/>
        </w:rPr>
      </w:pPr>
    </w:p>
    <w:p w14:paraId="2FE593E4">
      <w:pPr>
        <w:pStyle w:val="37"/>
        <w:rPr>
          <w:rFonts w:ascii="宋体" w:hAnsi="宋体" w:cs="宋体"/>
          <w:sz w:val="18"/>
          <w:szCs w:val="18"/>
        </w:rPr>
      </w:pPr>
    </w:p>
    <w:p w14:paraId="03386FE0">
      <w:pPr>
        <w:pStyle w:val="37"/>
        <w:rPr>
          <w:rFonts w:ascii="宋体" w:hAnsi="宋体" w:cs="宋体"/>
          <w:sz w:val="18"/>
          <w:szCs w:val="18"/>
        </w:rPr>
      </w:pPr>
    </w:p>
    <w:p w14:paraId="6CD3942D">
      <w:pPr>
        <w:pStyle w:val="37"/>
        <w:jc w:val="left"/>
        <w:rPr>
          <w:rFonts w:ascii="宋体" w:hAnsi="宋体" w:cs="宋体"/>
          <w:szCs w:val="24"/>
        </w:rPr>
      </w:pPr>
    </w:p>
    <w:p w14:paraId="4578F784">
      <w:pPr>
        <w:pStyle w:val="37"/>
        <w:ind w:firstLine="482" w:firstLineChars="200"/>
        <w:jc w:val="left"/>
        <w:rPr>
          <w:rFonts w:ascii="宋体" w:hAnsi="宋体" w:cs="宋体"/>
          <w:szCs w:val="24"/>
        </w:rPr>
      </w:pPr>
      <w:r>
        <w:rPr>
          <w:rFonts w:hint="eastAsia" w:ascii="宋体" w:hAnsi="宋体" w:cs="宋体"/>
          <w:szCs w:val="24"/>
        </w:rPr>
        <w:t>注1：根据提供的工程量清单报价，可不提供单价分析表；</w:t>
      </w:r>
    </w:p>
    <w:p w14:paraId="3108F62D">
      <w:pPr>
        <w:pStyle w:val="37"/>
        <w:ind w:firstLine="482" w:firstLineChars="200"/>
        <w:jc w:val="left"/>
        <w:rPr>
          <w:rFonts w:ascii="宋体" w:hAnsi="宋体" w:cs="宋体"/>
          <w:szCs w:val="24"/>
        </w:rPr>
      </w:pPr>
      <w:r>
        <w:rPr>
          <w:rFonts w:hint="eastAsia" w:ascii="宋体" w:hAnsi="宋体" w:cs="宋体"/>
          <w:szCs w:val="24"/>
        </w:rPr>
        <w:t>注2：如挂网工程量清单名称与竞争性谈判文件所示项目名称不一致，以竞争性谈判文件所示项目名称为准；</w:t>
      </w:r>
    </w:p>
    <w:p w14:paraId="513B7F16">
      <w:pPr>
        <w:spacing w:line="360" w:lineRule="auto"/>
        <w:ind w:right="480" w:firstLine="6480" w:firstLineChars="2700"/>
        <w:rPr>
          <w:rFonts w:ascii="宋体" w:hAnsi="宋体"/>
          <w:sz w:val="24"/>
          <w:szCs w:val="24"/>
        </w:rPr>
      </w:pPr>
    </w:p>
    <w:p w14:paraId="3B659EAC">
      <w:pPr>
        <w:snapToGrid w:val="0"/>
        <w:spacing w:line="500" w:lineRule="exact"/>
        <w:rPr>
          <w:rFonts w:ascii="宋体" w:hAnsi="宋体" w:cs="宋体"/>
          <w:sz w:val="24"/>
          <w:szCs w:val="28"/>
        </w:rPr>
      </w:pPr>
    </w:p>
    <w:p w14:paraId="30C1C17D">
      <w:pPr>
        <w:pStyle w:val="37"/>
        <w:rPr>
          <w:rFonts w:ascii="宋体" w:hAnsi="宋体" w:cs="宋体"/>
          <w:szCs w:val="24"/>
        </w:rPr>
      </w:pPr>
    </w:p>
    <w:p w14:paraId="61ECE6D8">
      <w:pPr>
        <w:pStyle w:val="37"/>
        <w:rPr>
          <w:rFonts w:ascii="宋体" w:hAnsi="宋体" w:cs="宋体"/>
          <w:szCs w:val="24"/>
        </w:rPr>
      </w:pPr>
    </w:p>
    <w:p w14:paraId="7FAD7AAA">
      <w:pPr>
        <w:rPr>
          <w:rFonts w:ascii="宋体" w:hAnsi="宋体" w:cs="宋体"/>
        </w:rPr>
      </w:pPr>
    </w:p>
    <w:p w14:paraId="1BA15921">
      <w:pPr>
        <w:rPr>
          <w:rFonts w:ascii="宋体" w:hAnsi="宋体" w:cs="宋体"/>
        </w:rPr>
      </w:pPr>
    </w:p>
    <w:p w14:paraId="0C6CDCC6">
      <w:pPr>
        <w:spacing w:line="360" w:lineRule="auto"/>
        <w:rPr>
          <w:rFonts w:ascii="宋体" w:hAnsi="宋体" w:cs="宋体"/>
        </w:rPr>
      </w:pPr>
      <w:r>
        <w:rPr>
          <w:rFonts w:hint="eastAsia" w:ascii="宋体" w:hAnsi="宋体" w:cs="宋体"/>
          <w:sz w:val="24"/>
          <w:szCs w:val="24"/>
        </w:rPr>
        <w:t xml:space="preserve">                                             供应商名称（公章）或自然人签署：</w:t>
      </w:r>
    </w:p>
    <w:p w14:paraId="203BC7DC">
      <w:pPr>
        <w:spacing w:line="360" w:lineRule="auto"/>
        <w:ind w:right="480" w:firstLine="6480" w:firstLineChars="2700"/>
        <w:rPr>
          <w:rFonts w:ascii="宋体" w:hAnsi="宋体" w:cs="宋体"/>
          <w:sz w:val="24"/>
          <w:szCs w:val="24"/>
        </w:rPr>
      </w:pPr>
      <w:r>
        <w:rPr>
          <w:rFonts w:hint="eastAsia" w:ascii="宋体" w:hAnsi="宋体" w:cs="宋体"/>
          <w:sz w:val="24"/>
          <w:szCs w:val="24"/>
        </w:rPr>
        <w:t>年     月    日</w:t>
      </w:r>
    </w:p>
    <w:p w14:paraId="601D64A8">
      <w:pPr>
        <w:snapToGrid w:val="0"/>
        <w:spacing w:line="360" w:lineRule="auto"/>
        <w:ind w:firstLine="480" w:firstLineChars="200"/>
        <w:rPr>
          <w:rFonts w:ascii="宋体" w:hAnsi="宋体" w:cs="宋体"/>
          <w:sz w:val="24"/>
          <w:szCs w:val="24"/>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p>
    <w:p w14:paraId="3D96EE9A">
      <w:pPr>
        <w:pStyle w:val="3"/>
        <w:adjustRightInd w:val="0"/>
        <w:snapToGrid w:val="0"/>
        <w:spacing w:before="0" w:after="0" w:line="400" w:lineRule="exact"/>
        <w:ind w:firstLine="482" w:firstLineChars="200"/>
        <w:rPr>
          <w:rFonts w:ascii="宋体" w:hAnsi="宋体" w:cs="宋体"/>
        </w:rPr>
      </w:pPr>
      <w:bookmarkStart w:id="270" w:name="_Toc4102"/>
      <w:r>
        <w:rPr>
          <w:rFonts w:hint="eastAsia" w:ascii="宋体" w:hAnsi="宋体" w:cs="宋体"/>
        </w:rPr>
        <w:t>二、服务部分</w:t>
      </w:r>
      <w:bookmarkEnd w:id="260"/>
      <w:bookmarkEnd w:id="261"/>
      <w:bookmarkEnd w:id="262"/>
      <w:bookmarkEnd w:id="263"/>
      <w:bookmarkEnd w:id="264"/>
      <w:bookmarkEnd w:id="265"/>
      <w:bookmarkEnd w:id="266"/>
      <w:bookmarkEnd w:id="267"/>
      <w:bookmarkEnd w:id="268"/>
      <w:bookmarkEnd w:id="270"/>
    </w:p>
    <w:p w14:paraId="06F6D408">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（一）服务响应偏离表</w:t>
      </w:r>
    </w:p>
    <w:p w14:paraId="35AB0E6B">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项目号：                               </w:t>
      </w:r>
    </w:p>
    <w:p w14:paraId="016327C5">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谈判项目名称：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707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922E27F">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序号</w:t>
            </w:r>
          </w:p>
        </w:tc>
        <w:tc>
          <w:tcPr>
            <w:tcW w:w="2658" w:type="dxa"/>
            <w:vAlign w:val="center"/>
          </w:tcPr>
          <w:p w14:paraId="20A1BF90">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项目服务需求</w:t>
            </w:r>
          </w:p>
        </w:tc>
        <w:tc>
          <w:tcPr>
            <w:tcW w:w="2759" w:type="dxa"/>
            <w:vAlign w:val="center"/>
          </w:tcPr>
          <w:p w14:paraId="153EE57C">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响应情况</w:t>
            </w:r>
          </w:p>
        </w:tc>
        <w:tc>
          <w:tcPr>
            <w:tcW w:w="2067" w:type="dxa"/>
            <w:vAlign w:val="center"/>
          </w:tcPr>
          <w:p w14:paraId="35EB9AAD">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差异说明</w:t>
            </w:r>
          </w:p>
        </w:tc>
      </w:tr>
      <w:tr w14:paraId="372C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41384A2">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5798EA82">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3957A98C">
            <w:pPr>
              <w:tabs>
                <w:tab w:val="left" w:pos="6300"/>
              </w:tabs>
              <w:snapToGrid w:val="0"/>
              <w:spacing w:line="500" w:lineRule="exact"/>
              <w:jc w:val="center"/>
              <w:outlineLvl w:val="0"/>
              <w:rPr>
                <w:rFonts w:ascii="宋体" w:hAnsi="宋体" w:cs="宋体"/>
                <w:sz w:val="21"/>
                <w:szCs w:val="21"/>
              </w:rPr>
            </w:pPr>
            <w:r>
              <w:rPr>
                <w:rFonts w:hint="eastAsia" w:ascii="宋体" w:hAnsi="宋体" w:cs="宋体"/>
                <w:sz w:val="21"/>
                <w:szCs w:val="21"/>
              </w:rPr>
              <w:t>提醒：请注明具体内容以及响应文件中具体内容的位置（页码）</w:t>
            </w:r>
          </w:p>
        </w:tc>
        <w:tc>
          <w:tcPr>
            <w:tcW w:w="2067" w:type="dxa"/>
            <w:vAlign w:val="center"/>
          </w:tcPr>
          <w:p w14:paraId="119D8723">
            <w:pPr>
              <w:tabs>
                <w:tab w:val="left" w:pos="6300"/>
              </w:tabs>
              <w:snapToGrid w:val="0"/>
              <w:spacing w:line="500" w:lineRule="exact"/>
              <w:jc w:val="center"/>
              <w:outlineLvl w:val="0"/>
              <w:rPr>
                <w:rFonts w:ascii="宋体" w:hAnsi="宋体" w:cs="宋体"/>
                <w:sz w:val="21"/>
                <w:szCs w:val="21"/>
              </w:rPr>
            </w:pPr>
          </w:p>
        </w:tc>
      </w:tr>
      <w:tr w14:paraId="50F8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C7AC5CE">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3BB0C7A2">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1A9100CD">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178666E3">
            <w:pPr>
              <w:tabs>
                <w:tab w:val="left" w:pos="6300"/>
              </w:tabs>
              <w:snapToGrid w:val="0"/>
              <w:spacing w:line="500" w:lineRule="exact"/>
              <w:jc w:val="center"/>
              <w:outlineLvl w:val="0"/>
              <w:rPr>
                <w:rFonts w:ascii="宋体" w:hAnsi="宋体" w:cs="宋体"/>
                <w:sz w:val="21"/>
                <w:szCs w:val="21"/>
              </w:rPr>
            </w:pPr>
          </w:p>
        </w:tc>
      </w:tr>
      <w:tr w14:paraId="18A9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ACD6B2">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084B00B3">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606F097F">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75B70BAC">
            <w:pPr>
              <w:tabs>
                <w:tab w:val="left" w:pos="6300"/>
              </w:tabs>
              <w:snapToGrid w:val="0"/>
              <w:spacing w:line="500" w:lineRule="exact"/>
              <w:jc w:val="center"/>
              <w:outlineLvl w:val="0"/>
              <w:rPr>
                <w:rFonts w:ascii="宋体" w:hAnsi="宋体" w:cs="宋体"/>
                <w:sz w:val="21"/>
                <w:szCs w:val="21"/>
              </w:rPr>
            </w:pPr>
          </w:p>
        </w:tc>
      </w:tr>
      <w:tr w14:paraId="683D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42C82C">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777E9A5C">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58B01C59">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13DD852B">
            <w:pPr>
              <w:tabs>
                <w:tab w:val="left" w:pos="6300"/>
              </w:tabs>
              <w:snapToGrid w:val="0"/>
              <w:spacing w:line="500" w:lineRule="exact"/>
              <w:jc w:val="center"/>
              <w:outlineLvl w:val="0"/>
              <w:rPr>
                <w:rFonts w:ascii="宋体" w:hAnsi="宋体" w:cs="宋体"/>
                <w:sz w:val="21"/>
                <w:szCs w:val="21"/>
              </w:rPr>
            </w:pPr>
          </w:p>
        </w:tc>
      </w:tr>
      <w:tr w14:paraId="3962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E75EA3A">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300AECF4">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138920C0">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249C7C26">
            <w:pPr>
              <w:tabs>
                <w:tab w:val="left" w:pos="6300"/>
              </w:tabs>
              <w:snapToGrid w:val="0"/>
              <w:spacing w:line="500" w:lineRule="exact"/>
              <w:jc w:val="center"/>
              <w:outlineLvl w:val="0"/>
              <w:rPr>
                <w:rFonts w:ascii="宋体" w:hAnsi="宋体" w:cs="宋体"/>
                <w:sz w:val="21"/>
                <w:szCs w:val="21"/>
              </w:rPr>
            </w:pPr>
          </w:p>
        </w:tc>
      </w:tr>
      <w:tr w14:paraId="2B12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7CC82DA">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07D26642">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3850110C">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5D05EEC6">
            <w:pPr>
              <w:tabs>
                <w:tab w:val="left" w:pos="6300"/>
              </w:tabs>
              <w:snapToGrid w:val="0"/>
              <w:spacing w:line="500" w:lineRule="exact"/>
              <w:jc w:val="center"/>
              <w:outlineLvl w:val="0"/>
              <w:rPr>
                <w:rFonts w:ascii="宋体" w:hAnsi="宋体" w:cs="宋体"/>
                <w:sz w:val="21"/>
                <w:szCs w:val="21"/>
              </w:rPr>
            </w:pPr>
          </w:p>
        </w:tc>
      </w:tr>
      <w:tr w14:paraId="366E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5A5AF95">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41194E6C">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1877BE72">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0CED657F">
            <w:pPr>
              <w:tabs>
                <w:tab w:val="left" w:pos="6300"/>
              </w:tabs>
              <w:snapToGrid w:val="0"/>
              <w:spacing w:line="500" w:lineRule="exact"/>
              <w:jc w:val="center"/>
              <w:outlineLvl w:val="0"/>
              <w:rPr>
                <w:rFonts w:ascii="宋体" w:hAnsi="宋体" w:cs="宋体"/>
                <w:sz w:val="21"/>
                <w:szCs w:val="21"/>
              </w:rPr>
            </w:pPr>
          </w:p>
        </w:tc>
      </w:tr>
      <w:tr w14:paraId="22A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F47347E">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695BD867">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19D21046">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3E843457">
            <w:pPr>
              <w:tabs>
                <w:tab w:val="left" w:pos="6300"/>
              </w:tabs>
              <w:snapToGrid w:val="0"/>
              <w:spacing w:line="500" w:lineRule="exact"/>
              <w:jc w:val="center"/>
              <w:outlineLvl w:val="0"/>
              <w:rPr>
                <w:rFonts w:ascii="宋体" w:hAnsi="宋体" w:cs="宋体"/>
                <w:sz w:val="21"/>
                <w:szCs w:val="21"/>
              </w:rPr>
            </w:pPr>
          </w:p>
        </w:tc>
      </w:tr>
      <w:tr w14:paraId="3EAE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79CDB9A">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419702F3">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2A90CEF1">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609AAC55">
            <w:pPr>
              <w:tabs>
                <w:tab w:val="left" w:pos="6300"/>
              </w:tabs>
              <w:snapToGrid w:val="0"/>
              <w:spacing w:line="500" w:lineRule="exact"/>
              <w:jc w:val="center"/>
              <w:outlineLvl w:val="0"/>
              <w:rPr>
                <w:rFonts w:ascii="宋体" w:hAnsi="宋体" w:cs="宋体"/>
                <w:sz w:val="21"/>
                <w:szCs w:val="21"/>
              </w:rPr>
            </w:pPr>
          </w:p>
        </w:tc>
      </w:tr>
      <w:tr w14:paraId="7CBD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3D965A5">
            <w:pPr>
              <w:tabs>
                <w:tab w:val="left" w:pos="6300"/>
              </w:tabs>
              <w:snapToGrid w:val="0"/>
              <w:spacing w:line="500" w:lineRule="exact"/>
              <w:jc w:val="center"/>
              <w:outlineLvl w:val="0"/>
              <w:rPr>
                <w:rFonts w:ascii="宋体" w:hAnsi="宋体" w:cs="宋体"/>
                <w:sz w:val="21"/>
                <w:szCs w:val="21"/>
              </w:rPr>
            </w:pPr>
          </w:p>
        </w:tc>
        <w:tc>
          <w:tcPr>
            <w:tcW w:w="2658" w:type="dxa"/>
            <w:vAlign w:val="center"/>
          </w:tcPr>
          <w:p w14:paraId="70996D04">
            <w:pPr>
              <w:tabs>
                <w:tab w:val="left" w:pos="6300"/>
              </w:tabs>
              <w:snapToGrid w:val="0"/>
              <w:spacing w:line="500" w:lineRule="exact"/>
              <w:jc w:val="center"/>
              <w:outlineLvl w:val="0"/>
              <w:rPr>
                <w:rFonts w:ascii="宋体" w:hAnsi="宋体" w:cs="宋体"/>
                <w:sz w:val="21"/>
                <w:szCs w:val="21"/>
              </w:rPr>
            </w:pPr>
          </w:p>
        </w:tc>
        <w:tc>
          <w:tcPr>
            <w:tcW w:w="2759" w:type="dxa"/>
            <w:vAlign w:val="center"/>
          </w:tcPr>
          <w:p w14:paraId="37A6711A">
            <w:pPr>
              <w:tabs>
                <w:tab w:val="left" w:pos="6300"/>
              </w:tabs>
              <w:snapToGrid w:val="0"/>
              <w:spacing w:line="500" w:lineRule="exact"/>
              <w:jc w:val="center"/>
              <w:outlineLvl w:val="0"/>
              <w:rPr>
                <w:rFonts w:ascii="宋体" w:hAnsi="宋体" w:cs="宋体"/>
                <w:sz w:val="21"/>
                <w:szCs w:val="21"/>
              </w:rPr>
            </w:pPr>
          </w:p>
        </w:tc>
        <w:tc>
          <w:tcPr>
            <w:tcW w:w="2067" w:type="dxa"/>
            <w:vAlign w:val="center"/>
          </w:tcPr>
          <w:p w14:paraId="0161962C">
            <w:pPr>
              <w:tabs>
                <w:tab w:val="left" w:pos="6300"/>
              </w:tabs>
              <w:snapToGrid w:val="0"/>
              <w:spacing w:line="500" w:lineRule="exact"/>
              <w:jc w:val="center"/>
              <w:outlineLvl w:val="0"/>
              <w:rPr>
                <w:rFonts w:ascii="宋体" w:hAnsi="宋体" w:cs="宋体"/>
                <w:sz w:val="21"/>
                <w:szCs w:val="21"/>
              </w:rPr>
            </w:pPr>
          </w:p>
        </w:tc>
      </w:tr>
    </w:tbl>
    <w:p w14:paraId="72D8F5C9">
      <w:pPr>
        <w:tabs>
          <w:tab w:val="left" w:pos="6300"/>
        </w:tabs>
        <w:snapToGrid w:val="0"/>
        <w:spacing w:line="400" w:lineRule="exact"/>
        <w:ind w:firstLine="480" w:firstLineChars="200"/>
        <w:rPr>
          <w:rFonts w:ascii="宋体" w:hAnsi="宋体" w:cs="宋体"/>
          <w:sz w:val="24"/>
        </w:rPr>
      </w:pPr>
    </w:p>
    <w:p w14:paraId="515A52A3">
      <w:pPr>
        <w:tabs>
          <w:tab w:val="left" w:pos="6300"/>
        </w:tabs>
        <w:snapToGrid w:val="0"/>
        <w:spacing w:line="400" w:lineRule="exact"/>
        <w:ind w:firstLine="480" w:firstLineChars="200"/>
        <w:rPr>
          <w:rFonts w:ascii="宋体" w:hAnsi="宋体" w:cs="宋体"/>
          <w:sz w:val="24"/>
        </w:rPr>
      </w:pPr>
    </w:p>
    <w:p w14:paraId="27CAB342">
      <w:pPr>
        <w:tabs>
          <w:tab w:val="left" w:pos="6300"/>
        </w:tabs>
        <w:snapToGrid w:val="0"/>
        <w:spacing w:line="400" w:lineRule="exact"/>
        <w:ind w:firstLine="480" w:firstLineChars="200"/>
        <w:rPr>
          <w:rFonts w:ascii="宋体" w:hAnsi="宋体" w:cs="宋体"/>
          <w:sz w:val="24"/>
        </w:rPr>
      </w:pPr>
    </w:p>
    <w:p w14:paraId="0E22FE7A">
      <w:pPr>
        <w:tabs>
          <w:tab w:val="left" w:pos="6300"/>
        </w:tabs>
        <w:snapToGrid w:val="0"/>
        <w:spacing w:line="400" w:lineRule="exact"/>
        <w:ind w:firstLine="480" w:firstLineChars="200"/>
        <w:rPr>
          <w:rFonts w:ascii="宋体" w:hAnsi="宋体" w:cs="宋体"/>
          <w:sz w:val="24"/>
        </w:rPr>
      </w:pPr>
    </w:p>
    <w:p w14:paraId="02C2DA61">
      <w:pPr>
        <w:tabs>
          <w:tab w:val="left" w:pos="6300"/>
        </w:tabs>
        <w:snapToGrid w:val="0"/>
        <w:spacing w:line="400" w:lineRule="exact"/>
        <w:ind w:firstLine="480" w:firstLineChars="200"/>
        <w:rPr>
          <w:rFonts w:ascii="宋体" w:hAnsi="宋体" w:cs="宋体"/>
          <w:sz w:val="24"/>
        </w:rPr>
      </w:pPr>
    </w:p>
    <w:p w14:paraId="00D38F54">
      <w:pPr>
        <w:tabs>
          <w:tab w:val="left" w:pos="6300"/>
        </w:tabs>
        <w:snapToGrid w:val="0"/>
        <w:spacing w:line="400" w:lineRule="exact"/>
        <w:ind w:firstLine="480" w:firstLineChars="200"/>
        <w:rPr>
          <w:rFonts w:ascii="宋体" w:hAnsi="宋体" w:cs="宋体"/>
          <w:sz w:val="24"/>
        </w:rPr>
      </w:pPr>
    </w:p>
    <w:p w14:paraId="5FB9EBCF">
      <w:pPr>
        <w:tabs>
          <w:tab w:val="left" w:pos="6300"/>
        </w:tabs>
        <w:snapToGrid w:val="0"/>
        <w:spacing w:line="400" w:lineRule="exact"/>
        <w:ind w:firstLine="480" w:firstLineChars="200"/>
        <w:rPr>
          <w:rFonts w:ascii="宋体" w:hAnsi="宋体" w:cs="宋体"/>
          <w:sz w:val="24"/>
        </w:rPr>
      </w:pPr>
    </w:p>
    <w:p w14:paraId="47C9DFFF">
      <w:pPr>
        <w:tabs>
          <w:tab w:val="left" w:pos="6300"/>
        </w:tabs>
        <w:snapToGrid w:val="0"/>
        <w:spacing w:line="400" w:lineRule="exact"/>
        <w:ind w:firstLine="480" w:firstLineChars="200"/>
        <w:rPr>
          <w:rFonts w:ascii="宋体" w:hAnsi="宋体" w:cs="宋体"/>
          <w:sz w:val="24"/>
        </w:rPr>
      </w:pPr>
    </w:p>
    <w:p w14:paraId="5CA6CA1F">
      <w:pPr>
        <w:tabs>
          <w:tab w:val="left" w:pos="6300"/>
        </w:tabs>
        <w:snapToGrid w:val="0"/>
        <w:spacing w:line="400" w:lineRule="exact"/>
        <w:ind w:firstLine="480" w:firstLineChars="200"/>
        <w:jc w:val="left"/>
        <w:rPr>
          <w:rFonts w:ascii="宋体" w:hAnsi="宋体" w:cs="宋体"/>
          <w:sz w:val="24"/>
        </w:rPr>
      </w:pPr>
      <w:r>
        <w:rPr>
          <w:rFonts w:hint="eastAsia" w:ascii="宋体" w:hAnsi="宋体" w:cs="宋体"/>
          <w:sz w:val="24"/>
        </w:rPr>
        <w:t>注：</w:t>
      </w:r>
    </w:p>
    <w:p w14:paraId="2BCCFCC0">
      <w:pPr>
        <w:tabs>
          <w:tab w:val="left" w:pos="6300"/>
        </w:tabs>
        <w:snapToGrid w:val="0"/>
        <w:spacing w:line="400" w:lineRule="exact"/>
        <w:ind w:firstLine="480" w:firstLineChars="200"/>
        <w:jc w:val="left"/>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.本表即为对本项目“第二篇  项目服务需求”中所列条款进行比较和响应</w:t>
      </w:r>
      <w:r>
        <w:rPr>
          <w:rFonts w:hint="eastAsia" w:ascii="宋体" w:hAnsi="宋体" w:cs="宋体"/>
          <w:sz w:val="24"/>
          <w:szCs w:val="24"/>
        </w:rPr>
        <w:t>；</w:t>
      </w:r>
    </w:p>
    <w:p w14:paraId="7674CB55">
      <w:pPr>
        <w:snapToGrid w:val="0"/>
        <w:spacing w:line="400" w:lineRule="exact"/>
        <w:ind w:firstLine="480" w:firstLineChars="200"/>
        <w:jc w:val="left"/>
        <w:rPr>
          <w:rFonts w:ascii="宋体" w:hAnsi="宋体" w:cs="宋体"/>
          <w:sz w:val="24"/>
        </w:rPr>
      </w:pPr>
      <w:r>
        <w:rPr>
          <w:rFonts w:hint="eastAsia" w:ascii="宋体" w:hAnsi="宋体" w:cs="宋体"/>
          <w:sz w:val="24"/>
        </w:rPr>
        <w:t>2.本表可扩展。</w:t>
      </w:r>
    </w:p>
    <w:p w14:paraId="0E041FE6">
      <w:pPr>
        <w:spacing w:line="400" w:lineRule="exac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lang w:val="en-US" w:eastAsia="zh-CN"/>
        </w:rPr>
        <w:t xml:space="preserve">  </w:t>
      </w:r>
      <w:r>
        <w:rPr>
          <w:rFonts w:hint="eastAsia" w:ascii="宋体" w:hAnsi="宋体" w:cs="宋体"/>
          <w:sz w:val="24"/>
          <w:szCs w:val="24"/>
        </w:rPr>
        <w:t>（二）其它（格式自定）</w:t>
      </w:r>
    </w:p>
    <w:p w14:paraId="7670D181">
      <w:pPr>
        <w:tabs>
          <w:tab w:val="left" w:pos="6300"/>
        </w:tabs>
        <w:snapToGrid w:val="0"/>
        <w:spacing w:line="500" w:lineRule="exact"/>
        <w:ind w:firstLine="480" w:firstLineChars="200"/>
        <w:rPr>
          <w:rFonts w:ascii="宋体" w:hAnsi="宋体" w:cs="宋体"/>
          <w:sz w:val="24"/>
          <w:szCs w:val="24"/>
        </w:rPr>
      </w:pPr>
    </w:p>
    <w:p w14:paraId="3C7991A5">
      <w:pPr>
        <w:pStyle w:val="3"/>
        <w:adjustRightInd w:val="0"/>
        <w:snapToGrid w:val="0"/>
        <w:spacing w:before="0" w:after="0" w:line="400" w:lineRule="exact"/>
        <w:ind w:firstLine="480" w:firstLineChars="200"/>
        <w:rPr>
          <w:rFonts w:ascii="宋体" w:hAnsi="宋体" w:cs="宋体"/>
        </w:rPr>
      </w:pPr>
      <w:r>
        <w:rPr>
          <w:rFonts w:hint="eastAsia" w:ascii="宋体" w:hAnsi="宋体" w:cs="宋体"/>
          <w:b w:val="0"/>
        </w:rPr>
        <w:br w:type="page"/>
      </w:r>
      <w:bookmarkStart w:id="271" w:name="_Toc20290"/>
      <w:bookmarkStart w:id="272" w:name="_Toc32158"/>
      <w:bookmarkStart w:id="273" w:name="_Toc32339"/>
      <w:bookmarkStart w:id="274" w:name="_Toc6540"/>
      <w:bookmarkStart w:id="275" w:name="_Toc65660381"/>
      <w:bookmarkStart w:id="276" w:name="_Toc15670"/>
      <w:bookmarkStart w:id="277" w:name="_Toc12051"/>
      <w:bookmarkStart w:id="278" w:name="_Toc313888362"/>
      <w:bookmarkStart w:id="279" w:name="_Toc313008358"/>
      <w:bookmarkStart w:id="280" w:name="_Toc342913421"/>
      <w:r>
        <w:rPr>
          <w:rFonts w:hint="eastAsia" w:ascii="宋体" w:hAnsi="宋体" w:cs="宋体"/>
        </w:rPr>
        <w:t>三、</w:t>
      </w:r>
      <w:bookmarkEnd w:id="271"/>
      <w:bookmarkEnd w:id="272"/>
      <w:bookmarkEnd w:id="273"/>
      <w:bookmarkEnd w:id="274"/>
      <w:bookmarkEnd w:id="275"/>
      <w:bookmarkEnd w:id="276"/>
      <w:r>
        <w:rPr>
          <w:rFonts w:hint="eastAsia" w:ascii="宋体" w:hAnsi="宋体" w:cs="宋体"/>
        </w:rPr>
        <w:t>商务部分</w:t>
      </w:r>
      <w:bookmarkEnd w:id="277"/>
    </w:p>
    <w:p w14:paraId="01C67474">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（一）商务响应偏离表</w:t>
      </w:r>
    </w:p>
    <w:p w14:paraId="6759293A">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项目号：                        </w:t>
      </w:r>
    </w:p>
    <w:p w14:paraId="21219291">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谈判项目名称：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DE0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17842E6">
            <w:pPr>
              <w:snapToGrid w:val="0"/>
              <w:spacing w:line="360" w:lineRule="auto"/>
              <w:ind w:firstLine="465"/>
              <w:rPr>
                <w:rFonts w:ascii="宋体" w:hAnsi="宋体" w:cs="宋体"/>
                <w:sz w:val="21"/>
                <w:szCs w:val="24"/>
              </w:rPr>
            </w:pPr>
            <w:r>
              <w:rPr>
                <w:rFonts w:hint="eastAsia" w:ascii="宋体" w:hAnsi="宋体" w:cs="宋体"/>
                <w:sz w:val="21"/>
                <w:szCs w:val="24"/>
              </w:rPr>
              <w:t>序号</w:t>
            </w:r>
          </w:p>
        </w:tc>
        <w:tc>
          <w:tcPr>
            <w:tcW w:w="3179" w:type="dxa"/>
            <w:vAlign w:val="center"/>
          </w:tcPr>
          <w:p w14:paraId="0B2C0B45">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项目商务需求</w:t>
            </w:r>
          </w:p>
        </w:tc>
        <w:tc>
          <w:tcPr>
            <w:tcW w:w="2434" w:type="dxa"/>
            <w:vAlign w:val="center"/>
          </w:tcPr>
          <w:p w14:paraId="57353635">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4E9E3D5C">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差异说明</w:t>
            </w:r>
          </w:p>
        </w:tc>
      </w:tr>
      <w:tr w14:paraId="3CC1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A8C960">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2891796D">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262BE868">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提醒：请注明具体内容以及响应文件中具体内容的位置（页码）</w:t>
            </w:r>
          </w:p>
        </w:tc>
        <w:tc>
          <w:tcPr>
            <w:tcW w:w="2355" w:type="dxa"/>
            <w:vAlign w:val="center"/>
          </w:tcPr>
          <w:p w14:paraId="5E13F5D1">
            <w:pPr>
              <w:tabs>
                <w:tab w:val="left" w:pos="6300"/>
              </w:tabs>
              <w:snapToGrid w:val="0"/>
              <w:spacing w:line="360" w:lineRule="auto"/>
              <w:jc w:val="center"/>
              <w:outlineLvl w:val="0"/>
              <w:rPr>
                <w:rFonts w:ascii="宋体" w:hAnsi="宋体" w:cs="宋体"/>
                <w:sz w:val="21"/>
                <w:szCs w:val="24"/>
              </w:rPr>
            </w:pPr>
          </w:p>
        </w:tc>
      </w:tr>
      <w:tr w14:paraId="2A23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228A21">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2AB8EF6C">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1D1A83BF">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026CFEA8">
            <w:pPr>
              <w:tabs>
                <w:tab w:val="left" w:pos="6300"/>
              </w:tabs>
              <w:snapToGrid w:val="0"/>
              <w:spacing w:line="360" w:lineRule="auto"/>
              <w:jc w:val="center"/>
              <w:outlineLvl w:val="0"/>
              <w:rPr>
                <w:rFonts w:ascii="宋体" w:hAnsi="宋体" w:cs="宋体"/>
                <w:sz w:val="21"/>
                <w:szCs w:val="24"/>
              </w:rPr>
            </w:pPr>
          </w:p>
        </w:tc>
      </w:tr>
      <w:tr w14:paraId="4B0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FDF4A85">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623D6C10">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5C4A11C0">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328BD66">
            <w:pPr>
              <w:tabs>
                <w:tab w:val="left" w:pos="6300"/>
              </w:tabs>
              <w:snapToGrid w:val="0"/>
              <w:spacing w:line="360" w:lineRule="auto"/>
              <w:jc w:val="center"/>
              <w:outlineLvl w:val="0"/>
              <w:rPr>
                <w:rFonts w:ascii="宋体" w:hAnsi="宋体" w:cs="宋体"/>
                <w:sz w:val="21"/>
                <w:szCs w:val="24"/>
              </w:rPr>
            </w:pPr>
          </w:p>
        </w:tc>
      </w:tr>
      <w:tr w14:paraId="3532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3D44D5">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071B62FE">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0A7E02AD">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5B5B2C26">
            <w:pPr>
              <w:tabs>
                <w:tab w:val="left" w:pos="6300"/>
              </w:tabs>
              <w:snapToGrid w:val="0"/>
              <w:spacing w:line="360" w:lineRule="auto"/>
              <w:jc w:val="center"/>
              <w:outlineLvl w:val="0"/>
              <w:rPr>
                <w:rFonts w:ascii="宋体" w:hAnsi="宋体" w:cs="宋体"/>
                <w:sz w:val="21"/>
                <w:szCs w:val="24"/>
              </w:rPr>
            </w:pPr>
          </w:p>
        </w:tc>
      </w:tr>
      <w:tr w14:paraId="38C9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44712F">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71FF7399">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486A25E4">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51F0405E">
            <w:pPr>
              <w:tabs>
                <w:tab w:val="left" w:pos="6300"/>
              </w:tabs>
              <w:snapToGrid w:val="0"/>
              <w:spacing w:line="360" w:lineRule="auto"/>
              <w:jc w:val="center"/>
              <w:outlineLvl w:val="0"/>
              <w:rPr>
                <w:rFonts w:ascii="宋体" w:hAnsi="宋体" w:cs="宋体"/>
                <w:sz w:val="21"/>
                <w:szCs w:val="24"/>
              </w:rPr>
            </w:pPr>
          </w:p>
        </w:tc>
      </w:tr>
      <w:tr w14:paraId="3EC7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3C2B5D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0210C4B">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28584358">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657309DB">
            <w:pPr>
              <w:tabs>
                <w:tab w:val="left" w:pos="6300"/>
              </w:tabs>
              <w:snapToGrid w:val="0"/>
              <w:spacing w:line="360" w:lineRule="auto"/>
              <w:jc w:val="center"/>
              <w:outlineLvl w:val="0"/>
              <w:rPr>
                <w:rFonts w:ascii="宋体" w:hAnsi="宋体" w:cs="宋体"/>
                <w:sz w:val="21"/>
                <w:szCs w:val="24"/>
              </w:rPr>
            </w:pPr>
          </w:p>
        </w:tc>
      </w:tr>
    </w:tbl>
    <w:p w14:paraId="3999CA9F">
      <w:pPr>
        <w:tabs>
          <w:tab w:val="left" w:pos="6300"/>
        </w:tabs>
        <w:snapToGrid w:val="0"/>
        <w:spacing w:line="480" w:lineRule="exact"/>
        <w:ind w:firstLine="480" w:firstLineChars="200"/>
        <w:rPr>
          <w:rFonts w:ascii="宋体" w:hAnsi="宋体" w:cs="宋体"/>
          <w:sz w:val="24"/>
        </w:rPr>
      </w:pPr>
    </w:p>
    <w:p w14:paraId="1728149D">
      <w:pPr>
        <w:tabs>
          <w:tab w:val="left" w:pos="6300"/>
        </w:tabs>
        <w:snapToGrid w:val="0"/>
        <w:spacing w:line="480" w:lineRule="exact"/>
        <w:ind w:firstLine="480" w:firstLineChars="200"/>
        <w:rPr>
          <w:rFonts w:ascii="宋体" w:hAnsi="宋体" w:cs="宋体"/>
          <w:sz w:val="24"/>
        </w:rPr>
      </w:pPr>
    </w:p>
    <w:p w14:paraId="3B46C795">
      <w:pPr>
        <w:tabs>
          <w:tab w:val="left" w:pos="6300"/>
        </w:tabs>
        <w:snapToGrid w:val="0"/>
        <w:spacing w:line="480" w:lineRule="exact"/>
        <w:ind w:firstLine="480" w:firstLineChars="200"/>
        <w:rPr>
          <w:rFonts w:ascii="宋体" w:hAnsi="宋体" w:cs="宋体"/>
          <w:sz w:val="24"/>
        </w:rPr>
      </w:pPr>
    </w:p>
    <w:p w14:paraId="3A9C1A60">
      <w:pPr>
        <w:tabs>
          <w:tab w:val="left" w:pos="6300"/>
        </w:tabs>
        <w:snapToGrid w:val="0"/>
        <w:spacing w:line="480" w:lineRule="exact"/>
        <w:ind w:firstLine="480" w:firstLineChars="200"/>
        <w:rPr>
          <w:rFonts w:ascii="宋体" w:hAnsi="宋体" w:cs="宋体"/>
          <w:sz w:val="24"/>
        </w:rPr>
      </w:pPr>
    </w:p>
    <w:p w14:paraId="794FC37C">
      <w:pPr>
        <w:tabs>
          <w:tab w:val="left" w:pos="6300"/>
        </w:tabs>
        <w:snapToGrid w:val="0"/>
        <w:spacing w:line="480" w:lineRule="exact"/>
        <w:ind w:firstLine="480" w:firstLineChars="200"/>
        <w:rPr>
          <w:rFonts w:ascii="宋体" w:hAnsi="宋体" w:cs="宋体"/>
          <w:sz w:val="24"/>
        </w:rPr>
      </w:pPr>
    </w:p>
    <w:p w14:paraId="6145E096">
      <w:pPr>
        <w:tabs>
          <w:tab w:val="left" w:pos="6300"/>
        </w:tabs>
        <w:snapToGrid w:val="0"/>
        <w:spacing w:line="480" w:lineRule="exact"/>
        <w:ind w:firstLine="480" w:firstLineChars="200"/>
        <w:rPr>
          <w:rFonts w:ascii="宋体" w:hAnsi="宋体" w:cs="宋体"/>
          <w:sz w:val="24"/>
        </w:rPr>
      </w:pPr>
    </w:p>
    <w:p w14:paraId="3C878BAF">
      <w:pPr>
        <w:tabs>
          <w:tab w:val="left" w:pos="6300"/>
        </w:tabs>
        <w:snapToGrid w:val="0"/>
        <w:spacing w:line="480" w:lineRule="exact"/>
        <w:ind w:firstLine="480" w:firstLineChars="200"/>
        <w:rPr>
          <w:rFonts w:ascii="宋体" w:hAnsi="宋体" w:cs="宋体"/>
          <w:sz w:val="24"/>
        </w:rPr>
      </w:pPr>
    </w:p>
    <w:p w14:paraId="67DB60A2">
      <w:pPr>
        <w:tabs>
          <w:tab w:val="left" w:pos="6300"/>
        </w:tabs>
        <w:snapToGrid w:val="0"/>
        <w:spacing w:line="400" w:lineRule="exact"/>
        <w:ind w:firstLine="480" w:firstLineChars="200"/>
        <w:rPr>
          <w:rFonts w:ascii="宋体" w:hAnsi="宋体" w:cs="宋体"/>
          <w:sz w:val="24"/>
        </w:rPr>
      </w:pPr>
    </w:p>
    <w:p w14:paraId="323B7FF4">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注：</w:t>
      </w:r>
    </w:p>
    <w:p w14:paraId="62B11912">
      <w:pPr>
        <w:tabs>
          <w:tab w:val="left" w:pos="6300"/>
        </w:tabs>
        <w:snapToGrid w:val="0"/>
        <w:spacing w:line="4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项目商务需求”中所列条款进行比较和响应，</w:t>
      </w:r>
      <w:r>
        <w:rPr>
          <w:rFonts w:hint="eastAsia" w:ascii="宋体" w:hAnsi="宋体" w:cs="宋体"/>
          <w:sz w:val="24"/>
          <w:szCs w:val="24"/>
        </w:rPr>
        <w:t>在“差异说明”项填写正偏离或负偏离，完全符合的填写“无差异”；</w:t>
      </w:r>
    </w:p>
    <w:p w14:paraId="74918FAE">
      <w:pPr>
        <w:tabs>
          <w:tab w:val="left" w:pos="6300"/>
        </w:tabs>
        <w:snapToGrid w:val="0"/>
        <w:spacing w:line="400" w:lineRule="exact"/>
        <w:ind w:firstLine="480" w:firstLineChars="200"/>
        <w:rPr>
          <w:rFonts w:ascii="宋体" w:hAnsi="宋体" w:cs="宋体"/>
          <w:sz w:val="24"/>
        </w:rPr>
      </w:pPr>
      <w:r>
        <w:rPr>
          <w:rFonts w:hint="eastAsia" w:ascii="宋体" w:hAnsi="宋体" w:cs="宋体"/>
          <w:sz w:val="24"/>
        </w:rPr>
        <w:t>2.本表可扩展。</w:t>
      </w:r>
    </w:p>
    <w:p w14:paraId="429133A4">
      <w:pPr>
        <w:spacing w:line="400" w:lineRule="exact"/>
        <w:ind w:firstLine="480" w:firstLineChars="200"/>
        <w:rPr>
          <w:rFonts w:ascii="宋体" w:hAnsi="宋体" w:cs="宋体"/>
          <w:sz w:val="24"/>
          <w:szCs w:val="24"/>
        </w:rPr>
      </w:pPr>
      <w:r>
        <w:rPr>
          <w:rFonts w:hint="eastAsia" w:ascii="宋体" w:hAnsi="宋体" w:cs="宋体"/>
          <w:sz w:val="24"/>
        </w:rPr>
        <w:br w:type="page"/>
      </w:r>
      <w:r>
        <w:rPr>
          <w:rFonts w:hint="eastAsia" w:ascii="宋体" w:hAnsi="宋体" w:cs="宋体"/>
          <w:sz w:val="24"/>
          <w:szCs w:val="24"/>
        </w:rPr>
        <w:t>（二）其他优惠承诺（格式自定）</w:t>
      </w:r>
    </w:p>
    <w:p w14:paraId="71071302">
      <w:pPr>
        <w:tabs>
          <w:tab w:val="left" w:pos="6300"/>
        </w:tabs>
        <w:snapToGrid w:val="0"/>
        <w:spacing w:line="400" w:lineRule="exact"/>
        <w:ind w:firstLine="480" w:firstLineChars="200"/>
        <w:rPr>
          <w:rFonts w:ascii="宋体" w:hAnsi="宋体" w:cs="宋体"/>
          <w:sz w:val="24"/>
          <w:szCs w:val="24"/>
        </w:rPr>
      </w:pPr>
    </w:p>
    <w:p w14:paraId="6B4E4666">
      <w:pPr>
        <w:tabs>
          <w:tab w:val="left" w:pos="6300"/>
        </w:tabs>
        <w:snapToGrid w:val="0"/>
        <w:spacing w:line="480" w:lineRule="exact"/>
        <w:ind w:firstLine="480" w:firstLineChars="200"/>
        <w:rPr>
          <w:rFonts w:ascii="宋体" w:hAnsi="宋体" w:cs="宋体"/>
          <w:sz w:val="24"/>
          <w:szCs w:val="24"/>
        </w:rPr>
      </w:pPr>
    </w:p>
    <w:p w14:paraId="624BCD58">
      <w:pPr>
        <w:pStyle w:val="3"/>
        <w:adjustRightInd w:val="0"/>
        <w:snapToGrid w:val="0"/>
        <w:spacing w:before="0" w:after="0" w:line="400" w:lineRule="exact"/>
        <w:ind w:firstLine="482" w:firstLineChars="200"/>
        <w:rPr>
          <w:rFonts w:ascii="宋体" w:hAnsi="宋体" w:cs="宋体"/>
        </w:rPr>
      </w:pPr>
      <w:r>
        <w:rPr>
          <w:rFonts w:hint="eastAsia" w:ascii="宋体" w:hAnsi="宋体" w:cs="宋体"/>
          <w:szCs w:val="24"/>
        </w:rPr>
        <w:br w:type="page"/>
      </w:r>
      <w:bookmarkStart w:id="281" w:name="_Toc20162"/>
      <w:bookmarkStart w:id="282" w:name="_Toc1856"/>
      <w:bookmarkStart w:id="283" w:name="_Toc2082"/>
      <w:bookmarkStart w:id="284" w:name="_Toc65660382"/>
      <w:bookmarkStart w:id="285" w:name="_Toc9057"/>
      <w:bookmarkStart w:id="286" w:name="_Toc21504"/>
      <w:bookmarkStart w:id="287" w:name="_Toc19898"/>
      <w:r>
        <w:rPr>
          <w:rFonts w:hint="eastAsia" w:ascii="宋体" w:hAnsi="宋体" w:cs="宋体"/>
        </w:rPr>
        <w:t>四、</w:t>
      </w:r>
      <w:bookmarkEnd w:id="278"/>
      <w:bookmarkEnd w:id="279"/>
      <w:bookmarkEnd w:id="280"/>
      <w:r>
        <w:rPr>
          <w:rFonts w:hint="eastAsia" w:ascii="宋体" w:hAnsi="宋体" w:cs="宋体"/>
        </w:rPr>
        <w:t>资格条件及其他</w:t>
      </w:r>
      <w:bookmarkEnd w:id="281"/>
      <w:bookmarkEnd w:id="282"/>
      <w:bookmarkEnd w:id="283"/>
      <w:bookmarkEnd w:id="284"/>
      <w:bookmarkEnd w:id="285"/>
      <w:bookmarkEnd w:id="286"/>
      <w:bookmarkEnd w:id="287"/>
      <w:bookmarkStart w:id="288" w:name="_Toc313008359"/>
      <w:bookmarkStart w:id="289" w:name="_Toc342913422"/>
      <w:bookmarkStart w:id="290" w:name="_Toc313888363"/>
    </w:p>
    <w:p w14:paraId="4A5B52ED">
      <w:pPr>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5E897A38">
      <w:pPr>
        <w:tabs>
          <w:tab w:val="left" w:pos="6300"/>
        </w:tabs>
        <w:snapToGrid w:val="0"/>
        <w:spacing w:line="500" w:lineRule="exact"/>
        <w:ind w:firstLine="570"/>
        <w:rPr>
          <w:rFonts w:ascii="宋体" w:hAnsi="宋体" w:cs="宋体"/>
          <w:sz w:val="24"/>
          <w:szCs w:val="24"/>
        </w:rPr>
      </w:pPr>
    </w:p>
    <w:p w14:paraId="0B362B8F">
      <w:pPr>
        <w:tabs>
          <w:tab w:val="left" w:pos="6300"/>
        </w:tabs>
        <w:snapToGrid w:val="0"/>
        <w:spacing w:line="500" w:lineRule="exact"/>
        <w:ind w:firstLine="570"/>
        <w:rPr>
          <w:rFonts w:ascii="宋体" w:hAnsi="宋体" w:cs="宋体"/>
        </w:rPr>
      </w:pPr>
    </w:p>
    <w:p w14:paraId="22C08EC7">
      <w:pPr>
        <w:tabs>
          <w:tab w:val="left" w:pos="6300"/>
        </w:tabs>
        <w:snapToGrid w:val="0"/>
        <w:spacing w:line="500" w:lineRule="exact"/>
        <w:ind w:firstLine="570"/>
        <w:rPr>
          <w:rFonts w:ascii="宋体" w:hAnsi="宋体" w:cs="宋体"/>
        </w:rPr>
      </w:pPr>
    </w:p>
    <w:p w14:paraId="5B786116">
      <w:pPr>
        <w:tabs>
          <w:tab w:val="left" w:pos="6300"/>
        </w:tabs>
        <w:snapToGrid w:val="0"/>
        <w:spacing w:line="500" w:lineRule="exact"/>
        <w:ind w:firstLine="570"/>
        <w:rPr>
          <w:rFonts w:ascii="宋体" w:hAnsi="宋体" w:cs="宋体"/>
        </w:rPr>
      </w:pPr>
    </w:p>
    <w:p w14:paraId="47BD83CC">
      <w:pPr>
        <w:tabs>
          <w:tab w:val="left" w:pos="6300"/>
        </w:tabs>
        <w:snapToGrid w:val="0"/>
        <w:spacing w:line="500" w:lineRule="exact"/>
        <w:ind w:firstLine="570"/>
        <w:rPr>
          <w:rFonts w:ascii="宋体" w:hAnsi="宋体" w:cs="宋体"/>
        </w:rPr>
      </w:pPr>
    </w:p>
    <w:p w14:paraId="4609EF44">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4DBF39C9">
      <w:pPr>
        <w:tabs>
          <w:tab w:val="left" w:pos="6300"/>
        </w:tabs>
        <w:snapToGrid w:val="0"/>
        <w:spacing w:line="500" w:lineRule="exact"/>
        <w:ind w:firstLine="570"/>
        <w:rPr>
          <w:rFonts w:ascii="宋体" w:hAnsi="宋体" w:cs="宋体"/>
          <w:sz w:val="24"/>
        </w:rPr>
      </w:pPr>
    </w:p>
    <w:p w14:paraId="063599A8">
      <w:pPr>
        <w:tabs>
          <w:tab w:val="left" w:pos="6300"/>
        </w:tabs>
        <w:snapToGrid w:val="0"/>
        <w:spacing w:line="500" w:lineRule="exact"/>
        <w:ind w:firstLine="570"/>
        <w:rPr>
          <w:rFonts w:ascii="宋体" w:hAnsi="宋体" w:cs="宋体"/>
          <w:sz w:val="24"/>
        </w:rPr>
      </w:pPr>
      <w:r>
        <w:rPr>
          <w:rFonts w:hint="eastAsia" w:ascii="宋体" w:hAnsi="宋体" w:cs="宋体"/>
          <w:sz w:val="24"/>
        </w:rPr>
        <w:t>谈判项目名称：</w:t>
      </w:r>
    </w:p>
    <w:p w14:paraId="075C4936">
      <w:pPr>
        <w:tabs>
          <w:tab w:val="left" w:pos="6300"/>
        </w:tabs>
        <w:snapToGrid w:val="0"/>
        <w:spacing w:line="500" w:lineRule="exact"/>
        <w:ind w:firstLine="570"/>
        <w:rPr>
          <w:rFonts w:ascii="宋体" w:hAnsi="宋体" w:cs="宋体"/>
          <w:sz w:val="24"/>
        </w:rPr>
      </w:pPr>
    </w:p>
    <w:p w14:paraId="4E7C09F4">
      <w:pPr>
        <w:tabs>
          <w:tab w:val="left" w:pos="6300"/>
        </w:tabs>
        <w:snapToGrid w:val="0"/>
        <w:spacing w:line="500" w:lineRule="exact"/>
        <w:rPr>
          <w:rFonts w:ascii="宋体" w:hAnsi="宋体" w:cs="宋体"/>
          <w:sz w:val="24"/>
        </w:rPr>
      </w:pPr>
      <w:r>
        <w:rPr>
          <w:rFonts w:hint="eastAsia" w:ascii="宋体" w:hAnsi="宋体" w:cs="宋体"/>
          <w:sz w:val="24"/>
        </w:rPr>
        <w:t>致：（采购人名称）：</w:t>
      </w:r>
    </w:p>
    <w:p w14:paraId="4B99EFC0">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14:paraId="0BF723F5">
      <w:pPr>
        <w:tabs>
          <w:tab w:val="left" w:pos="6300"/>
        </w:tabs>
        <w:snapToGrid w:val="0"/>
        <w:spacing w:line="500" w:lineRule="exact"/>
        <w:ind w:firstLine="570"/>
        <w:rPr>
          <w:rFonts w:ascii="宋体" w:hAnsi="宋体" w:cs="宋体"/>
          <w:sz w:val="24"/>
        </w:rPr>
      </w:pPr>
    </w:p>
    <w:p w14:paraId="53095802">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26371A69">
      <w:pPr>
        <w:tabs>
          <w:tab w:val="left" w:pos="6300"/>
        </w:tabs>
        <w:snapToGrid w:val="0"/>
        <w:spacing w:line="500" w:lineRule="exact"/>
        <w:ind w:firstLine="570"/>
        <w:rPr>
          <w:rFonts w:ascii="宋体" w:hAnsi="宋体" w:cs="宋体"/>
          <w:sz w:val="24"/>
        </w:rPr>
      </w:pPr>
    </w:p>
    <w:p w14:paraId="3F0A4FBF">
      <w:pPr>
        <w:tabs>
          <w:tab w:val="left" w:pos="6300"/>
        </w:tabs>
        <w:snapToGrid w:val="0"/>
        <w:spacing w:line="500" w:lineRule="exact"/>
        <w:ind w:firstLine="570"/>
        <w:rPr>
          <w:rFonts w:ascii="宋体" w:hAnsi="宋体" w:cs="宋体"/>
          <w:sz w:val="24"/>
        </w:rPr>
      </w:pPr>
    </w:p>
    <w:p w14:paraId="20E5CA4B">
      <w:pPr>
        <w:tabs>
          <w:tab w:val="left" w:pos="6300"/>
        </w:tabs>
        <w:snapToGrid w:val="0"/>
        <w:spacing w:line="500" w:lineRule="exact"/>
        <w:ind w:firstLine="570"/>
        <w:rPr>
          <w:rFonts w:ascii="宋体" w:hAnsi="宋体" w:cs="宋体"/>
          <w:sz w:val="24"/>
        </w:rPr>
      </w:pPr>
    </w:p>
    <w:p w14:paraId="723B0416">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319E5C0A">
      <w:pPr>
        <w:tabs>
          <w:tab w:val="left" w:pos="6300"/>
        </w:tabs>
        <w:snapToGrid w:val="0"/>
        <w:spacing w:line="500" w:lineRule="exact"/>
        <w:ind w:firstLine="570"/>
        <w:rPr>
          <w:rFonts w:ascii="宋体" w:hAnsi="宋体" w:cs="宋体"/>
          <w:sz w:val="24"/>
        </w:rPr>
      </w:pPr>
    </w:p>
    <w:p w14:paraId="003E29C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528D0111">
      <w:pPr>
        <w:tabs>
          <w:tab w:val="left" w:pos="6300"/>
        </w:tabs>
        <w:snapToGrid w:val="0"/>
        <w:spacing w:line="500" w:lineRule="exact"/>
        <w:ind w:firstLine="570"/>
        <w:rPr>
          <w:rFonts w:ascii="宋体" w:hAnsi="宋体" w:cs="宋体"/>
          <w:sz w:val="24"/>
        </w:rPr>
      </w:pPr>
    </w:p>
    <w:p w14:paraId="5DE4B890">
      <w:pPr>
        <w:tabs>
          <w:tab w:val="left" w:pos="6300"/>
        </w:tabs>
        <w:snapToGrid w:val="0"/>
        <w:spacing w:line="500" w:lineRule="exact"/>
        <w:ind w:firstLine="570"/>
        <w:rPr>
          <w:rFonts w:ascii="宋体" w:hAnsi="宋体" w:cs="宋体"/>
          <w:sz w:val="24"/>
        </w:rPr>
      </w:pPr>
    </w:p>
    <w:p w14:paraId="5CDCBE40">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14:paraId="66D5D46B">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27E8120">
      <w:pPr>
        <w:tabs>
          <w:tab w:val="left" w:pos="6300"/>
        </w:tabs>
        <w:snapToGrid w:val="0"/>
        <w:spacing w:line="500" w:lineRule="exact"/>
        <w:ind w:firstLine="570"/>
        <w:rPr>
          <w:rFonts w:ascii="宋体" w:hAnsi="宋体" w:cs="宋体"/>
          <w:sz w:val="24"/>
        </w:rPr>
      </w:pPr>
    </w:p>
    <w:p w14:paraId="3DA52775">
      <w:pPr>
        <w:tabs>
          <w:tab w:val="left" w:pos="6300"/>
        </w:tabs>
        <w:snapToGrid w:val="0"/>
        <w:spacing w:line="500" w:lineRule="exact"/>
        <w:ind w:firstLine="570"/>
        <w:rPr>
          <w:rFonts w:ascii="宋体" w:hAnsi="宋体" w:cs="宋体"/>
          <w:sz w:val="24"/>
        </w:rPr>
      </w:pPr>
    </w:p>
    <w:p w14:paraId="70C18119">
      <w:pPr>
        <w:tabs>
          <w:tab w:val="left" w:pos="6300"/>
        </w:tabs>
        <w:snapToGrid w:val="0"/>
        <w:spacing w:line="500" w:lineRule="exact"/>
        <w:ind w:firstLine="570"/>
        <w:rPr>
          <w:rFonts w:ascii="宋体" w:hAnsi="宋体" w:cs="宋体"/>
          <w:sz w:val="24"/>
        </w:rPr>
      </w:pPr>
    </w:p>
    <w:p w14:paraId="7B46D5EC">
      <w:pPr>
        <w:tabs>
          <w:tab w:val="left" w:pos="6300"/>
        </w:tabs>
        <w:snapToGrid w:val="0"/>
        <w:spacing w:line="500" w:lineRule="exact"/>
        <w:ind w:firstLine="570"/>
        <w:rPr>
          <w:rFonts w:ascii="宋体" w:hAnsi="宋体" w:cs="宋体"/>
          <w:sz w:val="24"/>
        </w:rPr>
      </w:pPr>
    </w:p>
    <w:p w14:paraId="21A7CD8A">
      <w:pPr>
        <w:tabs>
          <w:tab w:val="left" w:pos="6300"/>
        </w:tabs>
        <w:snapToGrid w:val="0"/>
        <w:spacing w:line="500" w:lineRule="exact"/>
        <w:ind w:firstLine="570"/>
        <w:rPr>
          <w:rFonts w:ascii="宋体" w:hAnsi="宋体" w:cs="宋体"/>
          <w:sz w:val="24"/>
        </w:rPr>
      </w:pPr>
    </w:p>
    <w:p w14:paraId="4D35ED25">
      <w:pPr>
        <w:tabs>
          <w:tab w:val="left" w:pos="6300"/>
        </w:tabs>
        <w:snapToGrid w:val="0"/>
        <w:spacing w:line="500" w:lineRule="exact"/>
        <w:ind w:firstLine="570"/>
        <w:rPr>
          <w:rFonts w:ascii="宋体" w:hAnsi="宋体" w:cs="宋体"/>
          <w:sz w:val="24"/>
        </w:rPr>
      </w:pPr>
    </w:p>
    <w:p w14:paraId="4BFC86F2">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7BE516D0">
      <w:pPr>
        <w:tabs>
          <w:tab w:val="left" w:pos="6300"/>
        </w:tabs>
        <w:snapToGrid w:val="0"/>
        <w:spacing w:line="500" w:lineRule="exact"/>
        <w:ind w:firstLine="570"/>
        <w:rPr>
          <w:rFonts w:ascii="宋体" w:hAnsi="宋体" w:cs="宋体"/>
          <w:sz w:val="24"/>
        </w:rPr>
      </w:pPr>
    </w:p>
    <w:p w14:paraId="6F078363">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谈判项目名称</w:t>
      </w:r>
      <w:r>
        <w:rPr>
          <w:rFonts w:hint="eastAsia" w:ascii="宋体" w:hAnsi="宋体" w:cs="宋体"/>
          <w:sz w:val="24"/>
        </w:rPr>
        <w:t>：</w:t>
      </w:r>
    </w:p>
    <w:p w14:paraId="4F359FEA">
      <w:pPr>
        <w:tabs>
          <w:tab w:val="left" w:pos="6300"/>
        </w:tabs>
        <w:snapToGrid w:val="0"/>
        <w:spacing w:line="500" w:lineRule="exact"/>
        <w:ind w:firstLine="570"/>
        <w:rPr>
          <w:rFonts w:ascii="宋体" w:hAnsi="宋体" w:cs="宋体"/>
          <w:sz w:val="24"/>
        </w:rPr>
      </w:pPr>
    </w:p>
    <w:p w14:paraId="21F5B9FE">
      <w:pPr>
        <w:tabs>
          <w:tab w:val="left" w:pos="6300"/>
        </w:tabs>
        <w:snapToGrid w:val="0"/>
        <w:spacing w:line="500" w:lineRule="exact"/>
        <w:rPr>
          <w:rFonts w:ascii="宋体" w:hAnsi="宋体" w:cs="宋体"/>
          <w:sz w:val="24"/>
        </w:rPr>
      </w:pPr>
      <w:r>
        <w:rPr>
          <w:rFonts w:hint="eastAsia" w:ascii="宋体" w:hAnsi="宋体" w:cs="宋体"/>
          <w:sz w:val="24"/>
        </w:rPr>
        <w:t>致：（采购人名称）：</w:t>
      </w:r>
    </w:p>
    <w:p w14:paraId="75A854B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（供应商法定代表人名称）是（供应商名称）的法定代表人，特授权（被授权人姓名及身份证代码）代表我单位全权办理上述项目的谈判、签约等具体工作，并签署全部有关文件、协议及合同。</w:t>
      </w:r>
    </w:p>
    <w:p w14:paraId="65F8ECD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151CB2AB">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3A5FD6E9">
      <w:pPr>
        <w:tabs>
          <w:tab w:val="left" w:pos="6300"/>
        </w:tabs>
        <w:snapToGrid w:val="0"/>
        <w:spacing w:line="500" w:lineRule="exact"/>
        <w:ind w:firstLine="570"/>
        <w:rPr>
          <w:rFonts w:ascii="宋体" w:hAnsi="宋体" w:cs="宋体"/>
          <w:sz w:val="24"/>
        </w:rPr>
      </w:pPr>
    </w:p>
    <w:p w14:paraId="4F60ED04">
      <w:pPr>
        <w:tabs>
          <w:tab w:val="left" w:pos="6300"/>
        </w:tabs>
        <w:snapToGrid w:val="0"/>
        <w:spacing w:line="500" w:lineRule="exact"/>
        <w:ind w:firstLine="570"/>
        <w:rPr>
          <w:rFonts w:ascii="宋体" w:hAnsi="宋体" w:cs="宋体"/>
          <w:sz w:val="24"/>
        </w:rPr>
      </w:pPr>
    </w:p>
    <w:p w14:paraId="649C4C0E">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72C602F4">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14:paraId="0B12A1BF">
      <w:pPr>
        <w:tabs>
          <w:tab w:val="left" w:pos="6300"/>
        </w:tabs>
        <w:snapToGrid w:val="0"/>
        <w:spacing w:line="500" w:lineRule="exact"/>
        <w:ind w:firstLine="570"/>
        <w:rPr>
          <w:rFonts w:ascii="宋体" w:hAnsi="宋体" w:cs="宋体"/>
          <w:sz w:val="24"/>
          <w:szCs w:val="28"/>
        </w:rPr>
      </w:pPr>
    </w:p>
    <w:p w14:paraId="3C879D82">
      <w:pPr>
        <w:tabs>
          <w:tab w:val="left" w:pos="6300"/>
        </w:tabs>
        <w:snapToGrid w:val="0"/>
        <w:spacing w:line="500" w:lineRule="exact"/>
        <w:ind w:firstLine="570"/>
        <w:rPr>
          <w:rFonts w:ascii="宋体" w:hAnsi="宋体" w:cs="宋体"/>
          <w:sz w:val="24"/>
        </w:rPr>
      </w:pPr>
    </w:p>
    <w:p w14:paraId="37A81C23">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584F1908">
      <w:pPr>
        <w:tabs>
          <w:tab w:val="left" w:pos="6300"/>
        </w:tabs>
        <w:snapToGrid w:val="0"/>
        <w:spacing w:line="500" w:lineRule="exact"/>
        <w:ind w:firstLine="570"/>
        <w:rPr>
          <w:rFonts w:ascii="宋体" w:hAnsi="宋体" w:cs="宋体"/>
          <w:sz w:val="24"/>
        </w:rPr>
      </w:pPr>
    </w:p>
    <w:p w14:paraId="3A1704F5">
      <w:pPr>
        <w:tabs>
          <w:tab w:val="left" w:pos="6300"/>
        </w:tabs>
        <w:snapToGrid w:val="0"/>
        <w:spacing w:line="500" w:lineRule="exact"/>
        <w:ind w:firstLine="570"/>
        <w:rPr>
          <w:rFonts w:ascii="宋体" w:hAnsi="宋体" w:cs="宋体"/>
          <w:sz w:val="24"/>
        </w:rPr>
      </w:pPr>
    </w:p>
    <w:p w14:paraId="72C50927">
      <w:pPr>
        <w:tabs>
          <w:tab w:val="left" w:pos="6300"/>
        </w:tabs>
        <w:snapToGrid w:val="0"/>
        <w:spacing w:line="500" w:lineRule="exact"/>
        <w:ind w:firstLine="570"/>
        <w:rPr>
          <w:rFonts w:ascii="宋体" w:hAnsi="宋体" w:cs="宋体"/>
          <w:sz w:val="24"/>
        </w:rPr>
      </w:pPr>
    </w:p>
    <w:p w14:paraId="1E5D6829">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3B25EEA0">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63167B3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14:paraId="46AF65F9">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注：若为法定代表人办理并签署响应文件的，不提供此文件。</w:t>
      </w:r>
    </w:p>
    <w:p w14:paraId="1BF246DE">
      <w:pPr>
        <w:widowControl/>
        <w:spacing w:line="400" w:lineRule="exact"/>
        <w:ind w:firstLine="560" w:firstLineChars="200"/>
        <w:jc w:val="left"/>
        <w:rPr>
          <w:rFonts w:ascii="宋体" w:hAnsi="宋体" w:cs="宋体"/>
          <w:sz w:val="24"/>
          <w:szCs w:val="24"/>
        </w:rPr>
      </w:pPr>
      <w:r>
        <w:rPr>
          <w:rFonts w:hint="eastAsia" w:ascii="宋体" w:hAnsi="宋体" w:cs="宋体"/>
        </w:rPr>
        <w:br w:type="column"/>
      </w:r>
      <w:r>
        <w:rPr>
          <w:rFonts w:hint="eastAsia" w:ascii="宋体" w:hAnsi="宋体" w:cs="宋体"/>
          <w:sz w:val="24"/>
          <w:szCs w:val="24"/>
        </w:rPr>
        <w:t>（四）基本资格条件承诺函（格式）</w:t>
      </w:r>
    </w:p>
    <w:p w14:paraId="2C435C63">
      <w:pPr>
        <w:tabs>
          <w:tab w:val="left" w:pos="6300"/>
        </w:tabs>
        <w:snapToGrid w:val="0"/>
        <w:spacing w:line="500" w:lineRule="exact"/>
        <w:ind w:firstLine="570"/>
        <w:jc w:val="center"/>
        <w:rPr>
          <w:rFonts w:ascii="宋体" w:hAnsi="宋体" w:cs="宋体"/>
          <w:b/>
          <w:bCs/>
          <w:sz w:val="30"/>
          <w:szCs w:val="30"/>
        </w:rPr>
      </w:pPr>
      <w:r>
        <w:rPr>
          <w:rFonts w:hint="eastAsia" w:ascii="宋体" w:hAnsi="宋体" w:cs="宋体"/>
          <w:b/>
          <w:bCs/>
          <w:sz w:val="30"/>
          <w:szCs w:val="30"/>
        </w:rPr>
        <w:t>基本资格条件承诺函</w:t>
      </w:r>
    </w:p>
    <w:p w14:paraId="1F21CE1C">
      <w:pPr>
        <w:tabs>
          <w:tab w:val="left" w:pos="6300"/>
        </w:tabs>
        <w:snapToGrid w:val="0"/>
        <w:spacing w:line="530" w:lineRule="exact"/>
        <w:rPr>
          <w:sz w:val="24"/>
        </w:rPr>
      </w:pPr>
    </w:p>
    <w:p w14:paraId="4DAE1433">
      <w:pPr>
        <w:tabs>
          <w:tab w:val="left" w:pos="6300"/>
        </w:tabs>
        <w:snapToGrid w:val="0"/>
        <w:spacing w:line="530" w:lineRule="exact"/>
        <w:rPr>
          <w:rFonts w:ascii="宋体" w:hAnsi="宋体" w:cs="宋体"/>
          <w:sz w:val="24"/>
          <w:szCs w:val="24"/>
        </w:rPr>
      </w:pPr>
      <w:r>
        <w:rPr>
          <w:rFonts w:hint="eastAsia" w:ascii="宋体" w:hAnsi="宋体" w:cs="宋体"/>
          <w:sz w:val="24"/>
          <w:szCs w:val="24"/>
        </w:rPr>
        <w:t>致（采购人名称）：</w:t>
      </w:r>
    </w:p>
    <w:p w14:paraId="244F4778">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（供应商名称）郑重承诺：</w:t>
      </w:r>
    </w:p>
    <w:p w14:paraId="3C9BB46F">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1BE7E1EB">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76C02DF1">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26096E74">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6490C940">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1D024FD7">
      <w:pPr>
        <w:tabs>
          <w:tab w:val="left" w:pos="6300"/>
        </w:tabs>
        <w:snapToGrid w:val="0"/>
        <w:spacing w:line="530" w:lineRule="exact"/>
        <w:rPr>
          <w:rFonts w:ascii="宋体" w:hAnsi="宋体" w:cs="宋体"/>
          <w:sz w:val="24"/>
          <w:szCs w:val="24"/>
        </w:rPr>
      </w:pPr>
    </w:p>
    <w:p w14:paraId="60E32FD4">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6F92475B">
      <w:pPr>
        <w:widowControl/>
        <w:spacing w:line="400" w:lineRule="exact"/>
        <w:ind w:firstLine="7680" w:firstLineChars="3200"/>
        <w:jc w:val="left"/>
        <w:rPr>
          <w:rFonts w:ascii="宋体" w:hAnsi="宋体" w:cs="宋体"/>
          <w:sz w:val="24"/>
          <w:szCs w:val="24"/>
        </w:rPr>
      </w:pPr>
      <w:r>
        <w:rPr>
          <w:rFonts w:hint="eastAsia" w:ascii="宋体" w:hAnsi="宋体" w:cs="宋体"/>
          <w:sz w:val="24"/>
          <w:szCs w:val="24"/>
        </w:rPr>
        <w:t>年   月   日</w:t>
      </w:r>
    </w:p>
    <w:p w14:paraId="0BC6B39B">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（五）特定资格条件证书</w:t>
      </w:r>
    </w:p>
    <w:p w14:paraId="0D1EB0EE">
      <w:pPr>
        <w:widowControl/>
        <w:spacing w:line="400" w:lineRule="exact"/>
        <w:ind w:firstLine="480" w:firstLineChars="200"/>
        <w:jc w:val="left"/>
        <w:rPr>
          <w:rFonts w:ascii="宋体" w:hAnsi="宋体" w:cs="宋体"/>
          <w:sz w:val="24"/>
          <w:szCs w:val="24"/>
        </w:rPr>
      </w:pPr>
    </w:p>
    <w:p w14:paraId="348D99DF">
      <w:pPr>
        <w:widowControl/>
        <w:spacing w:line="400" w:lineRule="exact"/>
        <w:ind w:firstLine="480" w:firstLineChars="200"/>
        <w:jc w:val="left"/>
        <w:rPr>
          <w:rFonts w:ascii="宋体" w:hAnsi="宋体" w:cs="宋体"/>
          <w:sz w:val="24"/>
          <w:szCs w:val="24"/>
        </w:rPr>
      </w:pPr>
    </w:p>
    <w:p w14:paraId="22B76056">
      <w:pPr>
        <w:pStyle w:val="3"/>
        <w:adjustRightInd w:val="0"/>
        <w:snapToGrid w:val="0"/>
        <w:spacing w:before="0" w:after="0" w:line="400" w:lineRule="exact"/>
        <w:ind w:firstLine="482" w:firstLineChars="200"/>
        <w:rPr>
          <w:rFonts w:ascii="宋体" w:hAnsi="宋体" w:cs="宋体"/>
          <w:color w:val="000000" w:themeColor="text1"/>
        </w:rPr>
      </w:pPr>
      <w:r>
        <w:rPr>
          <w:rFonts w:hint="eastAsia" w:ascii="宋体" w:hAnsi="宋体" w:cs="宋体"/>
          <w:szCs w:val="24"/>
        </w:rPr>
        <w:br w:type="page"/>
      </w:r>
      <w:bookmarkStart w:id="291" w:name="_Toc28862"/>
      <w:bookmarkStart w:id="292" w:name="_Toc27541"/>
      <w:bookmarkStart w:id="293" w:name="_Toc2080"/>
      <w:bookmarkStart w:id="294" w:name="_Toc600"/>
      <w:bookmarkStart w:id="295" w:name="_Toc71"/>
      <w:bookmarkStart w:id="296" w:name="_Toc17010"/>
      <w:bookmarkStart w:id="297" w:name="_Toc65660383"/>
      <w:r>
        <w:rPr>
          <w:rFonts w:hint="eastAsia" w:ascii="宋体" w:hAnsi="宋体" w:cs="宋体"/>
          <w:color w:val="000000" w:themeColor="text1"/>
        </w:rPr>
        <w:t>五、</w:t>
      </w:r>
      <w:bookmarkEnd w:id="288"/>
      <w:bookmarkEnd w:id="289"/>
      <w:bookmarkEnd w:id="290"/>
      <w:r>
        <w:rPr>
          <w:rFonts w:hint="eastAsia" w:ascii="宋体" w:hAnsi="宋体" w:cs="宋体"/>
          <w:color w:val="000000" w:themeColor="text1"/>
        </w:rPr>
        <w:t>其他资料</w:t>
      </w:r>
      <w:bookmarkEnd w:id="291"/>
      <w:bookmarkEnd w:id="292"/>
      <w:bookmarkEnd w:id="293"/>
      <w:bookmarkEnd w:id="294"/>
      <w:bookmarkEnd w:id="295"/>
      <w:bookmarkEnd w:id="296"/>
      <w:bookmarkEnd w:id="297"/>
    </w:p>
    <w:p w14:paraId="46D85DFB">
      <w:pPr>
        <w:widowControl/>
        <w:spacing w:line="4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（一）中小企业声明函、监狱企业证明文件、残疾人福利性单位声明函</w:t>
      </w:r>
    </w:p>
    <w:p w14:paraId="68587C48">
      <w:pPr>
        <w:tabs>
          <w:tab w:val="left" w:pos="6300"/>
        </w:tabs>
        <w:snapToGrid w:val="0"/>
        <w:spacing w:line="500" w:lineRule="exact"/>
        <w:jc w:val="center"/>
        <w:rPr>
          <w:rFonts w:ascii="宋体" w:hAnsi="宋体" w:cs="宋体"/>
          <w:color w:val="000000" w:themeColor="text1"/>
          <w:szCs w:val="28"/>
        </w:rPr>
      </w:pPr>
      <w:r>
        <w:rPr>
          <w:rFonts w:hint="eastAsia" w:ascii="宋体" w:hAnsi="宋体" w:cs="宋体"/>
          <w:color w:val="000000" w:themeColor="text1"/>
          <w:szCs w:val="28"/>
        </w:rPr>
        <w:t>中小企业声明函</w:t>
      </w:r>
    </w:p>
    <w:p w14:paraId="5F2843FC">
      <w:pPr>
        <w:tabs>
          <w:tab w:val="left" w:pos="6300"/>
        </w:tabs>
        <w:snapToGrid w:val="0"/>
        <w:spacing w:line="500" w:lineRule="exact"/>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本公司郑重声明，根据《政府采购促进中小企业发展管理办法》（</w:t>
      </w:r>
      <w:r>
        <w:rPr>
          <w:rFonts w:hint="eastAsia" w:ascii="宋体" w:hAnsi="宋体" w:cs="宋体"/>
          <w:color w:val="000000" w:themeColor="text1"/>
          <w:sz w:val="24"/>
          <w:szCs w:val="24"/>
        </w:rPr>
        <w:t>财库〔2020〕46号</w:t>
      </w:r>
      <w:r>
        <w:rPr>
          <w:rFonts w:hint="eastAsia" w:ascii="宋体" w:hAnsi="宋体" w:cs="宋体"/>
          <w:color w:val="000000" w:themeColor="text1"/>
          <w:sz w:val="24"/>
          <w:szCs w:val="28"/>
        </w:rPr>
        <w:t>）的规定，本公司参加</w:t>
      </w:r>
      <w:r>
        <w:rPr>
          <w:rFonts w:hint="eastAsia" w:ascii="宋体" w:hAnsi="宋体" w:cs="宋体"/>
          <w:i/>
          <w:color w:val="000000" w:themeColor="text1"/>
          <w:sz w:val="24"/>
          <w:szCs w:val="28"/>
          <w:u w:val="single"/>
        </w:rPr>
        <w:t>（</w:t>
      </w:r>
      <w:r>
        <w:rPr>
          <w:rFonts w:hint="eastAsia" w:ascii="方正仿宋_GBK" w:eastAsia="方正仿宋_GBK"/>
          <w:color w:val="000000" w:themeColor="text1"/>
          <w:sz w:val="32"/>
          <w:szCs w:val="32"/>
          <w:u w:val="single"/>
        </w:rPr>
        <w:t>重庆市黔江区民族职业教育中心</w:t>
      </w:r>
      <w:r>
        <w:rPr>
          <w:rFonts w:hint="eastAsia" w:ascii="宋体" w:hAnsi="宋体" w:cs="宋体"/>
          <w:i/>
          <w:color w:val="000000" w:themeColor="text1"/>
          <w:sz w:val="24"/>
          <w:szCs w:val="28"/>
          <w:u w:val="single"/>
        </w:rPr>
        <w:t>）</w:t>
      </w:r>
      <w:r>
        <w:rPr>
          <w:rFonts w:hint="eastAsia" w:ascii="宋体" w:hAnsi="宋体" w:cs="宋体"/>
          <w:color w:val="000000" w:themeColor="text1"/>
          <w:sz w:val="24"/>
          <w:szCs w:val="28"/>
        </w:rPr>
        <w:t>的</w:t>
      </w:r>
      <w:r>
        <w:rPr>
          <w:rFonts w:hint="eastAsia" w:ascii="宋体" w:hAnsi="宋体" w:cs="宋体"/>
          <w:i/>
          <w:color w:val="000000" w:themeColor="text1"/>
          <w:sz w:val="24"/>
          <w:szCs w:val="28"/>
          <w:u w:val="single"/>
        </w:rPr>
        <w:t>（</w:t>
      </w:r>
      <w:r>
        <w:rPr>
          <w:rFonts w:hint="eastAsia" w:ascii="方正仿宋_GBK" w:eastAsia="方正仿宋_GBK"/>
          <w:color w:val="000000" w:themeColor="text1"/>
          <w:sz w:val="32"/>
          <w:szCs w:val="32"/>
          <w:u w:val="single"/>
        </w:rPr>
        <w:t>警务室建设项目</w:t>
      </w:r>
      <w:r>
        <w:rPr>
          <w:rFonts w:hint="eastAsia" w:ascii="宋体" w:hAnsi="宋体" w:cs="宋体"/>
          <w:i/>
          <w:color w:val="000000" w:themeColor="text1"/>
          <w:sz w:val="24"/>
          <w:szCs w:val="28"/>
          <w:u w:val="single"/>
        </w:rPr>
        <w:t>）</w:t>
      </w:r>
      <w:r>
        <w:rPr>
          <w:rFonts w:hint="eastAsia" w:ascii="宋体" w:hAnsi="宋体" w:cs="宋体"/>
          <w:color w:val="000000" w:themeColor="text1"/>
          <w:sz w:val="24"/>
          <w:szCs w:val="28"/>
        </w:rPr>
        <w:t>采购活动，工程的施工单位全部为符合政策要求的中小企业。相关企业的具体情况如下：</w:t>
      </w:r>
    </w:p>
    <w:p w14:paraId="0B9B75E7">
      <w:pPr>
        <w:tabs>
          <w:tab w:val="left" w:pos="6300"/>
        </w:tabs>
        <w:snapToGrid w:val="0"/>
        <w:spacing w:line="500" w:lineRule="exact"/>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1.</w:t>
      </w:r>
      <w:r>
        <w:rPr>
          <w:rFonts w:hint="eastAsia" w:ascii="宋体" w:hAnsi="宋体" w:cs="宋体"/>
          <w:i/>
          <w:color w:val="000000" w:themeColor="text1"/>
          <w:sz w:val="24"/>
          <w:szCs w:val="28"/>
          <w:u w:val="single"/>
        </w:rPr>
        <w:t>（</w:t>
      </w:r>
      <w:r>
        <w:rPr>
          <w:rFonts w:hint="eastAsia" w:ascii="方正仿宋_GBK" w:eastAsia="方正仿宋_GBK"/>
          <w:color w:val="000000" w:themeColor="text1"/>
          <w:sz w:val="32"/>
          <w:szCs w:val="32"/>
          <w:u w:val="single"/>
        </w:rPr>
        <w:t>重庆市黔江区民族职业教育中心警务室建设项目</w:t>
      </w:r>
      <w:r>
        <w:rPr>
          <w:rFonts w:hint="eastAsia" w:ascii="宋体" w:hAnsi="宋体" w:cs="宋体"/>
          <w:i/>
          <w:color w:val="000000" w:themeColor="text1"/>
          <w:sz w:val="24"/>
          <w:szCs w:val="28"/>
          <w:u w:val="single"/>
        </w:rPr>
        <w:t>）</w:t>
      </w:r>
      <w:r>
        <w:rPr>
          <w:rFonts w:hint="eastAsia" w:ascii="宋体" w:hAnsi="宋体" w:cs="宋体"/>
          <w:color w:val="000000" w:themeColor="text1"/>
          <w:sz w:val="24"/>
          <w:szCs w:val="28"/>
        </w:rPr>
        <w:t>，属于</w:t>
      </w:r>
      <w:r>
        <w:rPr>
          <w:rFonts w:hint="eastAsia" w:ascii="宋体" w:hAnsi="宋体" w:cs="宋体"/>
          <w:i/>
          <w:color w:val="000000" w:themeColor="text1"/>
          <w:sz w:val="24"/>
          <w:szCs w:val="28"/>
          <w:u w:val="single"/>
        </w:rPr>
        <w:t>建筑业</w:t>
      </w:r>
      <w:r>
        <w:rPr>
          <w:rFonts w:hint="eastAsia" w:ascii="宋体" w:hAnsi="宋体" w:cs="宋体"/>
          <w:color w:val="000000" w:themeColor="text1"/>
          <w:sz w:val="24"/>
          <w:szCs w:val="28"/>
        </w:rPr>
        <w:t>；承建企业为</w:t>
      </w:r>
      <w:r>
        <w:rPr>
          <w:rFonts w:hint="eastAsia" w:ascii="宋体" w:hAnsi="宋体" w:cs="宋体"/>
          <w:i/>
          <w:color w:val="000000" w:themeColor="text1"/>
          <w:sz w:val="24"/>
          <w:szCs w:val="28"/>
          <w:u w:val="single"/>
        </w:rPr>
        <w:t>（企业名称）</w:t>
      </w:r>
      <w:r>
        <w:rPr>
          <w:rFonts w:hint="eastAsia" w:ascii="宋体" w:hAnsi="宋体" w:cs="宋体"/>
          <w:color w:val="000000" w:themeColor="text1"/>
          <w:sz w:val="24"/>
          <w:szCs w:val="28"/>
        </w:rPr>
        <w:t>，从业人员人，营业收入为万元，资产总额为万元，属于</w:t>
      </w:r>
      <w:r>
        <w:rPr>
          <w:rFonts w:hint="eastAsia" w:ascii="宋体" w:hAnsi="宋体" w:cs="宋体"/>
          <w:i/>
          <w:color w:val="000000" w:themeColor="text1"/>
          <w:sz w:val="24"/>
          <w:szCs w:val="28"/>
          <w:u w:val="single"/>
        </w:rPr>
        <w:t>（中型企业、小型企业、微型企业）</w:t>
      </w:r>
      <w:r>
        <w:rPr>
          <w:rFonts w:hint="eastAsia" w:ascii="宋体" w:hAnsi="宋体" w:cs="宋体"/>
          <w:color w:val="000000" w:themeColor="text1"/>
          <w:sz w:val="24"/>
          <w:szCs w:val="28"/>
        </w:rPr>
        <w:t>；</w:t>
      </w:r>
    </w:p>
    <w:p w14:paraId="47710477">
      <w:pPr>
        <w:tabs>
          <w:tab w:val="left" w:pos="6300"/>
        </w:tabs>
        <w:snapToGrid w:val="0"/>
        <w:spacing w:line="500" w:lineRule="exact"/>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w:t>
      </w:r>
    </w:p>
    <w:p w14:paraId="5F3BB007">
      <w:pPr>
        <w:tabs>
          <w:tab w:val="left" w:pos="6300"/>
        </w:tabs>
        <w:snapToGrid w:val="0"/>
        <w:spacing w:line="500" w:lineRule="exact"/>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以上企业，不属于大企业的分支机构，不存在控股股东为大企业的情形，也不存在与大企业的负责人为同一人的情形。</w:t>
      </w:r>
    </w:p>
    <w:p w14:paraId="3EDA2BDF">
      <w:pPr>
        <w:tabs>
          <w:tab w:val="left" w:pos="6300"/>
        </w:tabs>
        <w:snapToGrid w:val="0"/>
        <w:spacing w:line="500" w:lineRule="exact"/>
        <w:ind w:firstLine="480" w:firstLineChars="200"/>
        <w:rPr>
          <w:rFonts w:ascii="宋体" w:hAnsi="宋体" w:cs="宋体"/>
          <w:color w:val="000000" w:themeColor="text1"/>
          <w:sz w:val="24"/>
          <w:szCs w:val="28"/>
        </w:rPr>
      </w:pPr>
      <w:r>
        <w:rPr>
          <w:rFonts w:hint="eastAsia" w:ascii="宋体" w:hAnsi="宋体" w:cs="宋体"/>
          <w:color w:val="000000" w:themeColor="text1"/>
          <w:sz w:val="24"/>
          <w:szCs w:val="28"/>
        </w:rPr>
        <w:t>本企业对上述声明内容的真实性负责。如有虚假，将依法承担相应责任。</w:t>
      </w:r>
    </w:p>
    <w:p w14:paraId="6634E7A8">
      <w:pPr>
        <w:tabs>
          <w:tab w:val="left" w:pos="6300"/>
        </w:tabs>
        <w:snapToGrid w:val="0"/>
        <w:spacing w:line="500" w:lineRule="exact"/>
        <w:ind w:firstLine="6120" w:firstLineChars="2550"/>
        <w:rPr>
          <w:rFonts w:ascii="宋体" w:hAnsi="宋体" w:cs="宋体"/>
          <w:color w:val="000000" w:themeColor="text1"/>
          <w:sz w:val="24"/>
          <w:szCs w:val="28"/>
        </w:rPr>
      </w:pPr>
      <w:r>
        <w:rPr>
          <w:rFonts w:hint="eastAsia" w:ascii="宋体" w:hAnsi="宋体" w:cs="宋体"/>
          <w:color w:val="000000" w:themeColor="text1"/>
          <w:sz w:val="24"/>
          <w:szCs w:val="28"/>
        </w:rPr>
        <w:t xml:space="preserve">企业名称（盖章）：  </w:t>
      </w:r>
    </w:p>
    <w:p w14:paraId="5A4EC289">
      <w:pPr>
        <w:tabs>
          <w:tab w:val="left" w:pos="6300"/>
        </w:tabs>
        <w:snapToGrid w:val="0"/>
        <w:spacing w:line="500" w:lineRule="exact"/>
        <w:ind w:right="784" w:firstLine="6120" w:firstLineChars="2550"/>
        <w:rPr>
          <w:rFonts w:ascii="宋体" w:hAnsi="宋体" w:cs="宋体"/>
          <w:color w:val="000000" w:themeColor="text1"/>
          <w:sz w:val="24"/>
          <w:szCs w:val="28"/>
        </w:rPr>
      </w:pPr>
      <w:r>
        <w:rPr>
          <w:rFonts w:hint="eastAsia" w:ascii="宋体" w:hAnsi="宋体" w:cs="宋体"/>
          <w:color w:val="000000" w:themeColor="text1"/>
          <w:sz w:val="24"/>
          <w:szCs w:val="28"/>
        </w:rPr>
        <w:t>日期：</w:t>
      </w:r>
    </w:p>
    <w:p w14:paraId="2E971F98">
      <w:pPr>
        <w:tabs>
          <w:tab w:val="left" w:pos="6300"/>
        </w:tabs>
        <w:snapToGrid w:val="0"/>
        <w:spacing w:line="500" w:lineRule="exact"/>
        <w:ind w:right="784" w:firstLine="6120" w:firstLineChars="2550"/>
        <w:rPr>
          <w:rFonts w:ascii="宋体" w:hAnsi="宋体" w:cs="宋体"/>
          <w:sz w:val="24"/>
        </w:rPr>
      </w:pPr>
    </w:p>
    <w:p w14:paraId="2DD9A3DB">
      <w:pPr>
        <w:tabs>
          <w:tab w:val="left" w:pos="6300"/>
        </w:tabs>
        <w:snapToGrid w:val="0"/>
        <w:rPr>
          <w:rFonts w:ascii="宋体" w:hAnsi="宋体" w:cs="宋体"/>
          <w:kern w:val="0"/>
          <w:sz w:val="21"/>
          <w:szCs w:val="21"/>
        </w:rPr>
      </w:pPr>
      <w:r>
        <w:rPr>
          <w:rFonts w:hint="eastAsia" w:ascii="宋体" w:hAnsi="宋体" w:cs="宋体"/>
          <w:kern w:val="0"/>
          <w:sz w:val="21"/>
          <w:szCs w:val="21"/>
        </w:rPr>
        <w:t>填写时应注意以下事项：</w:t>
      </w:r>
    </w:p>
    <w:p w14:paraId="30562DB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0EB7E90F">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193389CF">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41F775C1">
      <w:pPr>
        <w:tabs>
          <w:tab w:val="left" w:pos="6300"/>
        </w:tabs>
        <w:snapToGrid w:val="0"/>
        <w:ind w:firstLine="422" w:firstLineChars="200"/>
        <w:rPr>
          <w:rFonts w:ascii="宋体" w:hAnsi="宋体" w:cs="宋体"/>
          <w:b/>
          <w:kern w:val="0"/>
          <w:sz w:val="21"/>
          <w:szCs w:val="21"/>
        </w:rPr>
      </w:pPr>
      <w:r>
        <w:rPr>
          <w:rFonts w:hint="eastAsia" w:ascii="宋体" w:hAnsi="宋体" w:cs="宋体"/>
          <w:b/>
          <w:kern w:val="0"/>
          <w:sz w:val="21"/>
          <w:szCs w:val="21"/>
        </w:rPr>
        <w:t>4.</w:t>
      </w:r>
      <w:r>
        <w:rPr>
          <w:rFonts w:hint="eastAsia" w:ascii="宋体" w:hAnsi="宋体" w:cs="宋体"/>
          <w:b/>
          <w:kern w:val="0"/>
          <w:sz w:val="21"/>
          <w:szCs w:val="21"/>
          <w:u w:val="single"/>
        </w:rPr>
        <w:t>本声明函“企业名称（盖章）”处为参加谈判的供应商盖章。</w:t>
      </w:r>
    </w:p>
    <w:p w14:paraId="3AE641B5">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注：各行业划型标准：</w:t>
      </w:r>
    </w:p>
    <w:p w14:paraId="48CA3F8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78213F3F">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415DBC">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DA25487">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04030D7">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50E429E">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205ABEA">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21CAE3B">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63D180">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D9DDF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1376DB">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F59BA0">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86510F9">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5514611">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AB195B5">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CBD6282">
      <w:pPr>
        <w:tabs>
          <w:tab w:val="left" w:pos="6300"/>
        </w:tabs>
        <w:snapToGrid w:val="0"/>
        <w:ind w:firstLine="420" w:firstLineChars="200"/>
        <w:rPr>
          <w:rFonts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64625786">
      <w:pPr>
        <w:tabs>
          <w:tab w:val="left" w:pos="6300"/>
        </w:tabs>
        <w:snapToGrid w:val="0"/>
        <w:spacing w:line="500" w:lineRule="exact"/>
        <w:ind w:firstLine="560" w:firstLineChars="200"/>
        <w:jc w:val="center"/>
        <w:rPr>
          <w:rFonts w:ascii="宋体" w:hAnsi="宋体" w:cs="宋体"/>
          <w:szCs w:val="28"/>
        </w:rPr>
      </w:pPr>
      <w:r>
        <w:rPr>
          <w:rFonts w:hint="eastAsia" w:ascii="宋体" w:hAnsi="宋体" w:cs="宋体"/>
        </w:rPr>
        <w:br w:type="page"/>
      </w:r>
      <w:r>
        <w:rPr>
          <w:rFonts w:hint="eastAsia" w:ascii="宋体" w:hAnsi="宋体" w:cs="宋体"/>
          <w:szCs w:val="28"/>
        </w:rPr>
        <w:t>监狱企业证明文件</w:t>
      </w:r>
    </w:p>
    <w:p w14:paraId="2CC696A4">
      <w:pPr>
        <w:tabs>
          <w:tab w:val="left" w:pos="6300"/>
        </w:tabs>
        <w:snapToGrid w:val="0"/>
        <w:spacing w:line="400" w:lineRule="exact"/>
        <w:ind w:firstLine="480" w:firstLineChars="200"/>
        <w:jc w:val="left"/>
        <w:rPr>
          <w:rFonts w:ascii="宋体" w:hAnsi="宋体" w:cs="宋体"/>
          <w:sz w:val="24"/>
          <w:szCs w:val="24"/>
        </w:rPr>
      </w:pPr>
      <w:r>
        <w:rPr>
          <w:rFonts w:hint="eastAsia" w:ascii="宋体" w:hAnsi="宋体" w:cs="宋体"/>
          <w:sz w:val="24"/>
          <w:szCs w:val="24"/>
        </w:rPr>
        <w:t>以省级以上监狱管理局、戒毒管理局（含新疆生产建设兵团）出具的属于监狱企业的证明文件为准。</w:t>
      </w:r>
    </w:p>
    <w:p w14:paraId="383D3475">
      <w:pPr>
        <w:tabs>
          <w:tab w:val="left" w:pos="6300"/>
        </w:tabs>
        <w:snapToGrid w:val="0"/>
        <w:spacing w:line="400" w:lineRule="exact"/>
        <w:ind w:firstLine="560" w:firstLineChars="200"/>
        <w:jc w:val="center"/>
        <w:rPr>
          <w:rFonts w:ascii="宋体" w:hAnsi="宋体" w:cs="宋体"/>
          <w:szCs w:val="28"/>
        </w:rPr>
      </w:pPr>
      <w:r>
        <w:rPr>
          <w:rFonts w:hint="eastAsia" w:ascii="宋体" w:hAnsi="宋体" w:cs="宋体"/>
        </w:rPr>
        <w:br w:type="page"/>
      </w:r>
      <w:r>
        <w:rPr>
          <w:rFonts w:hint="eastAsia" w:ascii="宋体" w:hAnsi="宋体" w:cs="宋体"/>
          <w:szCs w:val="28"/>
        </w:rPr>
        <w:t>残疾人福利性单位声明函</w:t>
      </w:r>
    </w:p>
    <w:p w14:paraId="4862D16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DCB11C">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56063F8">
      <w:pPr>
        <w:tabs>
          <w:tab w:val="left" w:pos="6300"/>
        </w:tabs>
        <w:snapToGrid w:val="0"/>
        <w:spacing w:line="500" w:lineRule="exact"/>
        <w:ind w:firstLine="480" w:firstLineChars="200"/>
        <w:rPr>
          <w:rFonts w:ascii="宋体" w:hAnsi="宋体" w:cs="宋体"/>
          <w:sz w:val="24"/>
        </w:rPr>
      </w:pPr>
    </w:p>
    <w:p w14:paraId="5561B15F">
      <w:pPr>
        <w:tabs>
          <w:tab w:val="left" w:pos="6300"/>
        </w:tabs>
        <w:snapToGrid w:val="0"/>
        <w:spacing w:line="500" w:lineRule="exact"/>
        <w:ind w:firstLine="480" w:firstLineChars="200"/>
        <w:rPr>
          <w:rFonts w:ascii="宋体" w:hAnsi="宋体" w:cs="宋体"/>
          <w:sz w:val="24"/>
        </w:rPr>
      </w:pPr>
    </w:p>
    <w:p w14:paraId="49A0F6D9">
      <w:pPr>
        <w:tabs>
          <w:tab w:val="left" w:pos="6300"/>
        </w:tabs>
        <w:snapToGrid w:val="0"/>
        <w:spacing w:line="500" w:lineRule="exact"/>
        <w:ind w:firstLine="480" w:firstLineChars="200"/>
        <w:rPr>
          <w:rFonts w:ascii="宋体" w:hAnsi="宋体" w:cs="宋体"/>
          <w:sz w:val="24"/>
        </w:rPr>
      </w:pPr>
    </w:p>
    <w:p w14:paraId="2768FB2D">
      <w:pPr>
        <w:tabs>
          <w:tab w:val="left" w:pos="6300"/>
        </w:tabs>
        <w:snapToGrid w:val="0"/>
        <w:spacing w:line="500" w:lineRule="exact"/>
        <w:ind w:firstLine="480" w:firstLineChars="200"/>
        <w:rPr>
          <w:rFonts w:ascii="宋体" w:hAnsi="宋体" w:cs="宋体"/>
          <w:sz w:val="24"/>
        </w:rPr>
      </w:pPr>
    </w:p>
    <w:p w14:paraId="05F185C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残疾人福利性单位名称（盖章）：</w:t>
      </w:r>
    </w:p>
    <w:p w14:paraId="40C24870">
      <w:pPr>
        <w:tabs>
          <w:tab w:val="left" w:pos="6300"/>
        </w:tabs>
        <w:snapToGrid w:val="0"/>
        <w:spacing w:line="500" w:lineRule="exact"/>
        <w:ind w:firstLine="570"/>
        <w:jc w:val="left"/>
        <w:rPr>
          <w:rFonts w:ascii="宋体" w:hAnsi="宋体" w:cs="宋体"/>
          <w:sz w:val="24"/>
        </w:rPr>
      </w:pPr>
      <w:r>
        <w:rPr>
          <w:rFonts w:hint="eastAsia" w:ascii="宋体" w:hAnsi="宋体" w:cs="宋体"/>
          <w:sz w:val="24"/>
        </w:rPr>
        <w:t xml:space="preserve">                                                  日  期：</w:t>
      </w:r>
    </w:p>
    <w:p w14:paraId="2A6131CF">
      <w:pPr>
        <w:tabs>
          <w:tab w:val="left" w:pos="6300"/>
        </w:tabs>
        <w:snapToGrid w:val="0"/>
        <w:spacing w:line="500" w:lineRule="exact"/>
        <w:ind w:firstLine="570"/>
        <w:jc w:val="left"/>
        <w:rPr>
          <w:rFonts w:ascii="宋体" w:hAnsi="宋体" w:cs="宋体"/>
          <w:sz w:val="24"/>
        </w:rPr>
      </w:pPr>
    </w:p>
    <w:p w14:paraId="3E0AFD19">
      <w:pPr>
        <w:tabs>
          <w:tab w:val="left" w:pos="6300"/>
        </w:tabs>
        <w:snapToGrid w:val="0"/>
        <w:spacing w:line="500" w:lineRule="exact"/>
        <w:ind w:firstLine="570"/>
        <w:jc w:val="left"/>
        <w:rPr>
          <w:rFonts w:ascii="宋体" w:hAnsi="宋体" w:cs="宋体"/>
          <w:sz w:val="24"/>
        </w:rPr>
      </w:pPr>
    </w:p>
    <w:p w14:paraId="5E53FDBF">
      <w:pPr>
        <w:tabs>
          <w:tab w:val="left" w:pos="6300"/>
        </w:tabs>
        <w:snapToGrid w:val="0"/>
        <w:spacing w:line="500" w:lineRule="exact"/>
        <w:ind w:firstLine="570"/>
        <w:jc w:val="left"/>
        <w:rPr>
          <w:rFonts w:ascii="宋体" w:hAnsi="宋体" w:cs="宋体"/>
          <w:sz w:val="24"/>
        </w:rPr>
      </w:pPr>
    </w:p>
    <w:p w14:paraId="03F7699D">
      <w:pPr>
        <w:tabs>
          <w:tab w:val="left" w:pos="6300"/>
        </w:tabs>
        <w:snapToGrid w:val="0"/>
        <w:spacing w:line="500" w:lineRule="exact"/>
        <w:ind w:firstLine="570"/>
        <w:jc w:val="left"/>
        <w:rPr>
          <w:rFonts w:ascii="宋体" w:hAnsi="宋体" w:cs="宋体"/>
          <w:sz w:val="24"/>
        </w:rPr>
      </w:pPr>
    </w:p>
    <w:p w14:paraId="4D9EF531">
      <w:pPr>
        <w:tabs>
          <w:tab w:val="left" w:pos="6300"/>
        </w:tabs>
        <w:snapToGrid w:val="0"/>
        <w:spacing w:line="500" w:lineRule="exact"/>
        <w:ind w:firstLine="570"/>
        <w:jc w:val="left"/>
        <w:rPr>
          <w:rFonts w:ascii="宋体" w:hAnsi="宋体" w:cs="宋体"/>
          <w:sz w:val="24"/>
        </w:rPr>
      </w:pPr>
    </w:p>
    <w:p w14:paraId="6254271E">
      <w:pPr>
        <w:tabs>
          <w:tab w:val="left" w:pos="6300"/>
        </w:tabs>
        <w:snapToGrid w:val="0"/>
        <w:spacing w:line="500" w:lineRule="exact"/>
        <w:ind w:firstLine="570"/>
        <w:jc w:val="left"/>
        <w:rPr>
          <w:rFonts w:ascii="宋体" w:hAnsi="宋体" w:cs="宋体"/>
          <w:sz w:val="24"/>
        </w:rPr>
      </w:pPr>
    </w:p>
    <w:p w14:paraId="2E07717F">
      <w:pPr>
        <w:tabs>
          <w:tab w:val="left" w:pos="6300"/>
        </w:tabs>
        <w:snapToGrid w:val="0"/>
        <w:spacing w:line="500" w:lineRule="exact"/>
        <w:ind w:firstLine="570"/>
        <w:jc w:val="left"/>
        <w:rPr>
          <w:rFonts w:ascii="宋体" w:hAnsi="宋体" w:cs="宋体"/>
          <w:sz w:val="24"/>
        </w:rPr>
      </w:pPr>
    </w:p>
    <w:p w14:paraId="4D9B5F6D">
      <w:pPr>
        <w:tabs>
          <w:tab w:val="left" w:pos="6300"/>
        </w:tabs>
        <w:snapToGrid w:val="0"/>
        <w:spacing w:line="500" w:lineRule="exact"/>
        <w:ind w:firstLine="570"/>
        <w:jc w:val="left"/>
        <w:rPr>
          <w:rFonts w:ascii="宋体" w:hAnsi="宋体" w:cs="宋体"/>
          <w:sz w:val="24"/>
        </w:rPr>
      </w:pPr>
    </w:p>
    <w:p w14:paraId="30FEFB83">
      <w:pPr>
        <w:tabs>
          <w:tab w:val="left" w:pos="6300"/>
        </w:tabs>
        <w:snapToGrid w:val="0"/>
        <w:spacing w:line="500" w:lineRule="exact"/>
        <w:ind w:firstLine="570"/>
        <w:jc w:val="left"/>
        <w:rPr>
          <w:rFonts w:ascii="宋体" w:hAnsi="宋体" w:cs="宋体"/>
          <w:sz w:val="24"/>
        </w:rPr>
      </w:pPr>
    </w:p>
    <w:p w14:paraId="1A04676B">
      <w:pPr>
        <w:tabs>
          <w:tab w:val="left" w:pos="6300"/>
        </w:tabs>
        <w:snapToGrid w:val="0"/>
        <w:spacing w:line="500" w:lineRule="exact"/>
        <w:ind w:firstLine="570"/>
        <w:jc w:val="left"/>
        <w:rPr>
          <w:rFonts w:ascii="宋体" w:hAnsi="宋体" w:cs="宋体"/>
          <w:sz w:val="24"/>
        </w:rPr>
      </w:pPr>
    </w:p>
    <w:p w14:paraId="1CE5721F">
      <w:pPr>
        <w:tabs>
          <w:tab w:val="left" w:pos="6300"/>
        </w:tabs>
        <w:snapToGrid w:val="0"/>
        <w:spacing w:line="500" w:lineRule="exact"/>
        <w:ind w:firstLine="570"/>
        <w:jc w:val="left"/>
        <w:rPr>
          <w:rFonts w:ascii="宋体" w:hAnsi="宋体" w:cs="宋体"/>
          <w:sz w:val="24"/>
        </w:rPr>
      </w:pPr>
    </w:p>
    <w:p w14:paraId="799A20B4">
      <w:pPr>
        <w:tabs>
          <w:tab w:val="left" w:pos="6300"/>
        </w:tabs>
        <w:snapToGrid w:val="0"/>
        <w:spacing w:line="500" w:lineRule="exact"/>
        <w:ind w:firstLine="570"/>
        <w:jc w:val="left"/>
        <w:rPr>
          <w:rFonts w:ascii="宋体" w:hAnsi="宋体" w:cs="宋体"/>
        </w:rPr>
      </w:pPr>
      <w:r>
        <w:rPr>
          <w:rFonts w:hint="eastAsia" w:ascii="宋体" w:hAnsi="宋体" w:cs="宋体"/>
          <w:kern w:val="0"/>
          <w:sz w:val="24"/>
        </w:rPr>
        <w:t>若成交供应商为残疾人福利性单位的，将在结果公告时公告其《残疾人福利性单位声明函》。</w:t>
      </w:r>
    </w:p>
    <w:p w14:paraId="4492CB15">
      <w:pPr>
        <w:widowControl/>
        <w:spacing w:line="400" w:lineRule="exact"/>
        <w:ind w:firstLine="560" w:firstLineChars="200"/>
        <w:jc w:val="left"/>
        <w:rPr>
          <w:rFonts w:ascii="宋体" w:hAnsi="宋体" w:cs="宋体"/>
          <w:sz w:val="24"/>
          <w:szCs w:val="24"/>
        </w:rPr>
      </w:pPr>
      <w:r>
        <w:rPr>
          <w:rFonts w:hint="eastAsia" w:ascii="宋体" w:hAnsi="宋体" w:cs="宋体"/>
        </w:rPr>
        <w:br w:type="page"/>
      </w:r>
      <w:r>
        <w:rPr>
          <w:rFonts w:hint="eastAsia" w:ascii="宋体" w:hAnsi="宋体" w:cs="宋体"/>
          <w:sz w:val="24"/>
          <w:szCs w:val="24"/>
        </w:rPr>
        <w:t>（二）其他与项目有关的资料（自附）</w:t>
      </w:r>
    </w:p>
    <w:p w14:paraId="0003469A">
      <w:pPr>
        <w:spacing w:line="360" w:lineRule="auto"/>
        <w:ind w:firstLine="480" w:firstLineChars="200"/>
        <w:rPr>
          <w:rFonts w:ascii="宋体" w:hAnsi="宋体" w:cs="宋体"/>
          <w:sz w:val="24"/>
          <w:szCs w:val="24"/>
        </w:rPr>
      </w:pPr>
    </w:p>
    <w:p w14:paraId="25AB4427">
      <w:pPr>
        <w:autoSpaceDE w:val="0"/>
        <w:autoSpaceDN w:val="0"/>
        <w:adjustRightInd w:val="0"/>
        <w:snapToGrid w:val="0"/>
        <w:spacing w:line="360" w:lineRule="auto"/>
        <w:jc w:val="center"/>
        <w:rPr>
          <w:rFonts w:ascii="宋体" w:hAnsi="宋体" w:cs="MingLiU"/>
          <w:kern w:val="0"/>
          <w:sz w:val="24"/>
          <w:szCs w:val="24"/>
        </w:rPr>
      </w:pPr>
      <w:r>
        <w:rPr>
          <w:rFonts w:hint="eastAsia" w:ascii="宋体" w:hAnsi="宋体" w:cs="MingLiU"/>
          <w:kern w:val="0"/>
          <w:sz w:val="24"/>
          <w:szCs w:val="24"/>
        </w:rPr>
        <w:t>承诺书</w:t>
      </w:r>
    </w:p>
    <w:p w14:paraId="7CB438EE">
      <w:pPr>
        <w:snapToGrid w:val="0"/>
        <w:spacing w:line="400" w:lineRule="exact"/>
        <w:rPr>
          <w:rFonts w:ascii="宋体" w:hAnsi="宋体"/>
          <w:sz w:val="24"/>
          <w:szCs w:val="24"/>
          <w:u w:val="single"/>
        </w:rPr>
      </w:pPr>
      <w:r>
        <w:rPr>
          <w:rFonts w:hint="eastAsia" w:ascii="宋体" w:hAnsi="宋体"/>
          <w:sz w:val="24"/>
          <w:szCs w:val="24"/>
          <w:u w:val="single"/>
        </w:rPr>
        <w:t xml:space="preserve">        （采购人名称）</w:t>
      </w:r>
      <w:r>
        <w:rPr>
          <w:rFonts w:hint="eastAsia" w:ascii="宋体" w:hAnsi="宋体"/>
          <w:sz w:val="24"/>
          <w:szCs w:val="24"/>
        </w:rPr>
        <w:t>：</w:t>
      </w:r>
    </w:p>
    <w:p w14:paraId="1781C351">
      <w:pPr>
        <w:snapToGrid w:val="0"/>
        <w:spacing w:line="400" w:lineRule="exact"/>
        <w:ind w:firstLine="480" w:firstLineChars="200"/>
        <w:rPr>
          <w:rFonts w:ascii="宋体" w:hAnsi="宋体"/>
          <w:sz w:val="24"/>
          <w:szCs w:val="24"/>
        </w:rPr>
      </w:pPr>
      <w:r>
        <w:rPr>
          <w:rFonts w:hint="eastAsia" w:ascii="宋体" w:hAnsi="宋体"/>
          <w:sz w:val="24"/>
          <w:szCs w:val="24"/>
        </w:rPr>
        <w:t>我公司</w:t>
      </w:r>
      <w:r>
        <w:rPr>
          <w:rFonts w:hint="eastAsia" w:ascii="宋体" w:hAnsi="宋体"/>
          <w:sz w:val="24"/>
          <w:szCs w:val="24"/>
          <w:u w:val="single"/>
        </w:rPr>
        <w:t xml:space="preserve">        （供应商名称）</w:t>
      </w:r>
      <w:r>
        <w:rPr>
          <w:rFonts w:hint="eastAsia" w:ascii="宋体" w:hAnsi="宋体"/>
          <w:sz w:val="24"/>
          <w:szCs w:val="24"/>
        </w:rPr>
        <w:t>参加了贵单位</w:t>
      </w:r>
      <w:r>
        <w:rPr>
          <w:rFonts w:hint="eastAsia" w:ascii="宋体" w:hAnsi="宋体"/>
          <w:sz w:val="24"/>
          <w:szCs w:val="24"/>
          <w:u w:val="single"/>
        </w:rPr>
        <w:t xml:space="preserve">        （项目名称）</w:t>
      </w:r>
      <w:r>
        <w:rPr>
          <w:rFonts w:hint="eastAsia" w:ascii="宋体" w:hAnsi="宋体"/>
          <w:sz w:val="24"/>
          <w:szCs w:val="24"/>
        </w:rPr>
        <w:t>的采购活动，自愿做出以下承诺：</w:t>
      </w:r>
    </w:p>
    <w:p w14:paraId="4DD4F5EB">
      <w:pPr>
        <w:snapToGrid w:val="0"/>
        <w:spacing w:line="400" w:lineRule="exact"/>
        <w:ind w:firstLine="480" w:firstLineChars="200"/>
        <w:rPr>
          <w:rFonts w:ascii="宋体" w:hAnsi="宋体"/>
          <w:sz w:val="24"/>
          <w:szCs w:val="24"/>
        </w:rPr>
      </w:pPr>
      <w:r>
        <w:rPr>
          <w:rFonts w:hint="eastAsia" w:ascii="宋体" w:hAnsi="宋体"/>
          <w:sz w:val="24"/>
          <w:szCs w:val="24"/>
        </w:rPr>
        <w:t>1、我公司拟派项目经理无在建项目情况。</w:t>
      </w:r>
    </w:p>
    <w:p w14:paraId="30603359">
      <w:pPr>
        <w:snapToGrid w:val="0"/>
        <w:spacing w:line="400" w:lineRule="exact"/>
        <w:ind w:firstLine="480" w:firstLineChars="200"/>
        <w:rPr>
          <w:rFonts w:ascii="宋体" w:hAnsi="宋体"/>
          <w:sz w:val="24"/>
          <w:szCs w:val="24"/>
        </w:rPr>
      </w:pPr>
      <w:r>
        <w:rPr>
          <w:rFonts w:hint="eastAsia" w:ascii="宋体" w:hAnsi="宋体"/>
          <w:sz w:val="24"/>
          <w:szCs w:val="24"/>
        </w:rPr>
        <w:t>2、我公司在资格审查部分中提供的相关证明材料真实有效，不存在弄虚作假情形。采购人在合同签订前均有权对我司提供的资料进行核实，若发现弄虚作假，取消成交资格，并按相关法律法规报相关监督部门处理，我司自愿承担因此造成的相关责任并赔偿相应损失。</w:t>
      </w:r>
    </w:p>
    <w:p w14:paraId="5FE721D4">
      <w:pPr>
        <w:snapToGrid w:val="0"/>
        <w:spacing w:line="400" w:lineRule="exact"/>
        <w:ind w:firstLine="480" w:firstLineChars="200"/>
        <w:rPr>
          <w:rFonts w:ascii="宋体" w:hAnsi="宋体"/>
          <w:sz w:val="24"/>
          <w:szCs w:val="24"/>
        </w:rPr>
      </w:pPr>
    </w:p>
    <w:p w14:paraId="54581901">
      <w:pPr>
        <w:snapToGrid w:val="0"/>
        <w:spacing w:line="400" w:lineRule="exact"/>
        <w:ind w:firstLine="480" w:firstLineChars="200"/>
        <w:rPr>
          <w:rFonts w:ascii="宋体" w:hAnsi="宋体"/>
          <w:sz w:val="24"/>
          <w:szCs w:val="24"/>
        </w:rPr>
      </w:pPr>
    </w:p>
    <w:p w14:paraId="65C05740">
      <w:pPr>
        <w:tabs>
          <w:tab w:val="left" w:pos="4200"/>
          <w:tab w:val="left" w:pos="4620"/>
        </w:tabs>
        <w:autoSpaceDE w:val="0"/>
        <w:autoSpaceDN w:val="0"/>
        <w:adjustRightInd w:val="0"/>
        <w:snapToGrid w:val="0"/>
        <w:spacing w:line="400" w:lineRule="exact"/>
        <w:ind w:firstLine="480" w:firstLineChars="200"/>
        <w:jc w:val="left"/>
        <w:rPr>
          <w:rFonts w:ascii="宋体" w:hAnsi="宋体"/>
          <w:sz w:val="24"/>
          <w:szCs w:val="24"/>
        </w:rPr>
      </w:pPr>
    </w:p>
    <w:p w14:paraId="62B1615D">
      <w:pPr>
        <w:tabs>
          <w:tab w:val="left" w:pos="4200"/>
          <w:tab w:val="left" w:pos="4620"/>
        </w:tabs>
        <w:autoSpaceDE w:val="0"/>
        <w:autoSpaceDN w:val="0"/>
        <w:adjustRightInd w:val="0"/>
        <w:snapToGrid w:val="0"/>
        <w:spacing w:line="400" w:lineRule="exact"/>
        <w:ind w:firstLine="480" w:firstLineChars="200"/>
        <w:jc w:val="right"/>
        <w:rPr>
          <w:rFonts w:ascii="宋体" w:hAnsi="宋体"/>
          <w:kern w:val="0"/>
          <w:sz w:val="24"/>
          <w:szCs w:val="24"/>
        </w:rPr>
      </w:pPr>
      <w:r>
        <w:rPr>
          <w:rFonts w:hint="eastAsia" w:ascii="宋体" w:hAnsi="宋体"/>
          <w:kern w:val="0"/>
          <w:sz w:val="24"/>
          <w:szCs w:val="24"/>
        </w:rPr>
        <w:t>供  应  商：</w:t>
      </w:r>
      <w:r>
        <w:rPr>
          <w:rFonts w:hint="eastAsia" w:ascii="宋体" w:hAnsi="宋体" w:cs="宋体"/>
          <w:sz w:val="24"/>
          <w:szCs w:val="24"/>
        </w:rPr>
        <w:t>（供应商公章）</w:t>
      </w:r>
    </w:p>
    <w:p w14:paraId="485BF622">
      <w:pPr>
        <w:tabs>
          <w:tab w:val="left" w:pos="6300"/>
        </w:tabs>
        <w:autoSpaceDE w:val="0"/>
        <w:autoSpaceDN w:val="0"/>
        <w:adjustRightInd w:val="0"/>
        <w:snapToGrid w:val="0"/>
        <w:spacing w:line="400" w:lineRule="exact"/>
        <w:ind w:firstLine="480" w:firstLineChars="200"/>
        <w:jc w:val="right"/>
        <w:rPr>
          <w:rFonts w:ascii="宋体" w:hAnsi="宋体"/>
          <w:kern w:val="0"/>
          <w:sz w:val="24"/>
          <w:szCs w:val="24"/>
        </w:rPr>
      </w:pPr>
      <w:r>
        <w:rPr>
          <w:rFonts w:hint="eastAsia" w:ascii="宋体" w:hAnsi="宋体"/>
          <w:kern w:val="0"/>
          <w:sz w:val="24"/>
          <w:szCs w:val="24"/>
        </w:rPr>
        <w:t>法定代表人：（签署或盖章）</w:t>
      </w:r>
    </w:p>
    <w:p w14:paraId="7359E7D2">
      <w:pPr>
        <w:pStyle w:val="55"/>
        <w:ind w:left="1600" w:firstLine="480"/>
        <w:jc w:val="right"/>
      </w:pPr>
      <w:r>
        <w:rPr>
          <w:rFonts w:hint="eastAsia"/>
          <w:kern w:val="0"/>
          <w:szCs w:val="24"/>
        </w:rPr>
        <w:t>年月日</w:t>
      </w:r>
    </w:p>
    <w:p w14:paraId="3F285BAF">
      <w:pPr>
        <w:spacing w:line="360" w:lineRule="auto"/>
        <w:ind w:firstLine="480" w:firstLineChars="200"/>
        <w:jc w:val="center"/>
        <w:rPr>
          <w:rFonts w:ascii="宋体" w:hAnsi="宋体" w:cs="宋体"/>
          <w:sz w:val="24"/>
          <w:szCs w:val="24"/>
        </w:rPr>
      </w:pPr>
    </w:p>
    <w:p w14:paraId="6042485D">
      <w:pPr>
        <w:spacing w:line="360" w:lineRule="auto"/>
        <w:ind w:firstLine="480" w:firstLineChars="200"/>
        <w:jc w:val="center"/>
        <w:rPr>
          <w:rFonts w:ascii="宋体" w:hAnsi="宋体" w:cs="宋体"/>
          <w:sz w:val="24"/>
          <w:szCs w:val="24"/>
        </w:rPr>
      </w:pPr>
    </w:p>
    <w:p w14:paraId="318784B9">
      <w:pPr>
        <w:spacing w:line="360" w:lineRule="auto"/>
        <w:ind w:firstLine="480" w:firstLineChars="200"/>
        <w:jc w:val="center"/>
        <w:rPr>
          <w:rFonts w:ascii="宋体" w:hAnsi="宋体" w:cs="宋体"/>
          <w:sz w:val="24"/>
          <w:szCs w:val="24"/>
        </w:rPr>
      </w:pPr>
    </w:p>
    <w:p w14:paraId="75738AF3">
      <w:pPr>
        <w:spacing w:line="360" w:lineRule="auto"/>
        <w:ind w:firstLine="480" w:firstLineChars="200"/>
        <w:jc w:val="center"/>
        <w:rPr>
          <w:rFonts w:ascii="宋体" w:hAnsi="宋体" w:cs="宋体"/>
          <w:sz w:val="24"/>
          <w:szCs w:val="24"/>
        </w:rPr>
      </w:pPr>
    </w:p>
    <w:p w14:paraId="407D46F4">
      <w:pPr>
        <w:spacing w:line="360" w:lineRule="auto"/>
        <w:ind w:firstLine="480" w:firstLineChars="200"/>
        <w:jc w:val="center"/>
        <w:rPr>
          <w:rFonts w:ascii="宋体" w:hAnsi="宋体" w:cs="宋体"/>
          <w:sz w:val="24"/>
          <w:szCs w:val="24"/>
        </w:rPr>
      </w:pPr>
    </w:p>
    <w:p w14:paraId="51F84757">
      <w:pPr>
        <w:spacing w:line="360" w:lineRule="auto"/>
        <w:ind w:firstLine="480" w:firstLineChars="200"/>
        <w:jc w:val="center"/>
        <w:rPr>
          <w:rFonts w:ascii="宋体" w:hAnsi="宋体" w:cs="宋体"/>
          <w:sz w:val="24"/>
          <w:szCs w:val="24"/>
        </w:rPr>
      </w:pPr>
    </w:p>
    <w:p w14:paraId="2740167A">
      <w:pPr>
        <w:spacing w:line="360" w:lineRule="auto"/>
        <w:ind w:firstLine="480" w:firstLineChars="200"/>
        <w:jc w:val="center"/>
        <w:rPr>
          <w:rFonts w:ascii="宋体" w:hAnsi="宋体" w:cs="宋体"/>
          <w:sz w:val="24"/>
          <w:szCs w:val="24"/>
        </w:rPr>
      </w:pPr>
    </w:p>
    <w:p w14:paraId="1556464F">
      <w:pPr>
        <w:spacing w:line="360" w:lineRule="auto"/>
        <w:ind w:firstLine="480" w:firstLineChars="200"/>
        <w:jc w:val="center"/>
        <w:rPr>
          <w:rFonts w:ascii="宋体" w:hAnsi="宋体" w:cs="宋体"/>
          <w:sz w:val="24"/>
          <w:szCs w:val="24"/>
        </w:rPr>
      </w:pPr>
    </w:p>
    <w:p w14:paraId="2D44823C">
      <w:pPr>
        <w:spacing w:line="360" w:lineRule="auto"/>
        <w:ind w:firstLine="480" w:firstLineChars="200"/>
        <w:jc w:val="center"/>
        <w:rPr>
          <w:rFonts w:ascii="宋体" w:hAnsi="宋体" w:cs="宋体"/>
          <w:sz w:val="24"/>
          <w:szCs w:val="24"/>
        </w:rPr>
      </w:pPr>
    </w:p>
    <w:p w14:paraId="18A5A71A">
      <w:pPr>
        <w:spacing w:line="360" w:lineRule="auto"/>
        <w:ind w:firstLine="480" w:firstLineChars="200"/>
        <w:jc w:val="center"/>
        <w:rPr>
          <w:rFonts w:ascii="宋体" w:hAnsi="宋体" w:cs="宋体"/>
          <w:sz w:val="24"/>
          <w:szCs w:val="24"/>
        </w:rPr>
      </w:pPr>
    </w:p>
    <w:p w14:paraId="0E8352F6">
      <w:pPr>
        <w:spacing w:line="360" w:lineRule="auto"/>
        <w:ind w:firstLine="480" w:firstLineChars="200"/>
        <w:jc w:val="center"/>
        <w:rPr>
          <w:rFonts w:ascii="宋体" w:hAnsi="宋体" w:cs="宋体"/>
          <w:sz w:val="24"/>
          <w:szCs w:val="24"/>
        </w:rPr>
      </w:pPr>
    </w:p>
    <w:p w14:paraId="127A8FEF">
      <w:pPr>
        <w:spacing w:line="360" w:lineRule="auto"/>
        <w:ind w:firstLine="480" w:firstLineChars="200"/>
        <w:jc w:val="center"/>
        <w:rPr>
          <w:rFonts w:ascii="宋体" w:hAnsi="宋体" w:cs="宋体"/>
          <w:sz w:val="24"/>
          <w:szCs w:val="24"/>
        </w:rPr>
      </w:pPr>
    </w:p>
    <w:p w14:paraId="74F143EE">
      <w:pPr>
        <w:spacing w:line="360" w:lineRule="auto"/>
        <w:ind w:firstLine="480" w:firstLineChars="200"/>
        <w:jc w:val="center"/>
        <w:rPr>
          <w:rFonts w:ascii="宋体" w:hAnsi="宋体" w:cs="宋体"/>
          <w:sz w:val="24"/>
          <w:szCs w:val="24"/>
        </w:rPr>
      </w:pPr>
    </w:p>
    <w:p w14:paraId="1BB00DF2">
      <w:pPr>
        <w:spacing w:line="360" w:lineRule="auto"/>
        <w:ind w:firstLine="480" w:firstLineChars="200"/>
        <w:jc w:val="center"/>
        <w:rPr>
          <w:rFonts w:ascii="宋体" w:hAnsi="宋体" w:cs="宋体"/>
          <w:sz w:val="24"/>
          <w:szCs w:val="24"/>
        </w:rPr>
      </w:pPr>
    </w:p>
    <w:p w14:paraId="534A6A46">
      <w:pPr>
        <w:spacing w:line="360" w:lineRule="auto"/>
        <w:ind w:firstLine="480" w:firstLineChars="200"/>
        <w:jc w:val="center"/>
        <w:rPr>
          <w:rFonts w:ascii="宋体" w:hAnsi="宋体" w:cs="宋体"/>
          <w:sz w:val="24"/>
          <w:szCs w:val="24"/>
        </w:rPr>
      </w:pPr>
    </w:p>
    <w:p w14:paraId="721650BE">
      <w:pPr>
        <w:spacing w:line="360" w:lineRule="auto"/>
        <w:ind w:firstLine="560" w:firstLineChars="200"/>
        <w:jc w:val="center"/>
        <w:rPr>
          <w:rFonts w:ascii="宋体" w:hAnsi="宋体" w:cs="宋体"/>
        </w:rPr>
      </w:pPr>
      <w:r>
        <w:rPr>
          <w:rFonts w:hint="eastAsia" w:ascii="宋体" w:hAnsi="宋体" w:cs="宋体"/>
        </w:rPr>
        <w:t>（结束）</w:t>
      </w: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方正黑体_GBK"/>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1F8F">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- 2 -</w:t>
    </w:r>
    <w:r>
      <w:rPr>
        <w:rFonts w:ascii="宋体"/>
        <w:sz w:val="21"/>
        <w:szCs w:val="21"/>
      </w:rPr>
      <w:fldChar w:fldCharType="end"/>
    </w:r>
  </w:p>
  <w:p w14:paraId="7C7D8C5A">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BD2C">
    <w:pPr>
      <w:pStyle w:val="35"/>
      <w:framePr w:wrap="around" w:vAnchor="text" w:hAnchor="margin" w:xAlign="center" w:y="1"/>
      <w:rPr>
        <w:rStyle w:val="61"/>
      </w:rPr>
    </w:pPr>
    <w:r>
      <w:fldChar w:fldCharType="begin"/>
    </w:r>
    <w:r>
      <w:rPr>
        <w:rStyle w:val="61"/>
      </w:rPr>
      <w:instrText xml:space="preserve">PAGE  </w:instrText>
    </w:r>
    <w:r>
      <w:fldChar w:fldCharType="end"/>
    </w:r>
  </w:p>
  <w:p w14:paraId="0F0F994E">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B74B">
    <w:pPr>
      <w:pStyle w:val="35"/>
      <w:framePr w:wrap="around" w:vAnchor="text" w:hAnchor="margin" w:xAlign="center" w:y="1"/>
      <w:rPr>
        <w:rStyle w:val="61"/>
      </w:rPr>
    </w:pPr>
  </w:p>
  <w:p w14:paraId="1FA8C353">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F40B">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BE25">
    <w:pPr>
      <w:pStyle w:val="36"/>
      <w:jc w:val="both"/>
      <w:rPr>
        <w:rFonts w:ascii="方正仿宋_GBK" w:eastAsia="方正仿宋_GBK"/>
        <w:sz w:val="21"/>
        <w:szCs w:val="21"/>
      </w:rPr>
    </w:pPr>
    <w:r>
      <w:rPr>
        <w:rFonts w:hint="eastAsia" w:ascii="方正仿宋_GBK" w:eastAsia="方正仿宋_GBK"/>
        <w:sz w:val="21"/>
        <w:szCs w:val="24"/>
      </w:rPr>
      <w:t xml:space="preserve">  重庆市黔江区民族职业教育中心</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A76C">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0E3F">
    <w:pPr>
      <w:pStyle w:val="36"/>
      <w:jc w:val="both"/>
      <w:rPr>
        <w:rFonts w:ascii="方正仿宋_GBK" w:eastAsia="方正仿宋_GBK"/>
        <w:sz w:val="21"/>
        <w:szCs w:val="21"/>
      </w:rPr>
    </w:pPr>
    <w:r>
      <w:rPr>
        <w:rFonts w:hint="eastAsia" w:ascii="方正仿宋_GBK" w:eastAsia="方正仿宋_GBK"/>
        <w:sz w:val="21"/>
        <w:szCs w:val="21"/>
      </w:rPr>
      <w:t>重庆市政府采购中心                                                     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D462">
    <w:pPr>
      <w:pStyle w:val="36"/>
      <w:jc w:val="both"/>
      <w:rPr>
        <w:rFonts w:ascii="方正仿宋_GBK" w:eastAsia="方正仿宋_GBK"/>
        <w:sz w:val="21"/>
        <w:szCs w:val="21"/>
      </w:rPr>
    </w:pPr>
    <w:r>
      <w:rPr>
        <w:rFonts w:hint="eastAsia" w:ascii="方正仿宋_GBK" w:eastAsia="方正仿宋_GBK"/>
        <w:sz w:val="21"/>
        <w:szCs w:val="21"/>
      </w:rPr>
      <w:t>重庆市政府采购中心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6"/>
      <w:numFmt w:val="chineseCounting"/>
      <w:suff w:val="space"/>
      <w:lvlText w:val="第%1篇"/>
      <w:lvlJc w:val="left"/>
      <w:rPr>
        <w:rFonts w:hint="eastAsia"/>
      </w:rPr>
    </w:lvl>
  </w:abstractNum>
  <w:abstractNum w:abstractNumId="1">
    <w:nsid w:val="06F222C5"/>
    <w:multiLevelType w:val="singleLevel"/>
    <w:tmpl w:val="06F222C5"/>
    <w:lvl w:ilvl="0" w:tentative="0">
      <w:start w:val="3"/>
      <w:numFmt w:val="chineseCounting"/>
      <w:suff w:val="nothing"/>
      <w:lvlText w:val="（%1）"/>
      <w:lvlJc w:val="left"/>
      <w:rPr>
        <w:rFonts w:hint="eastAsia"/>
      </w:rPr>
    </w:lvl>
  </w:abstractNum>
  <w:abstractNum w:abstractNumId="2">
    <w:nsid w:val="7CCDC6DA"/>
    <w:multiLevelType w:val="singleLevel"/>
    <w:tmpl w:val="7CCDC6DA"/>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cxZDdjZDZhMzE5YjE0YmEzNmFiZWI2MzAyNzZkNWIifQ=="/>
    <w:docVar w:name="KGWebUrl" w:val="http://10.10.10.15/seeyon/officeservlet"/>
  </w:docVars>
  <w:rsids>
    <w:rsidRoot w:val="00172A27"/>
    <w:rsid w:val="000067A7"/>
    <w:rsid w:val="00006EEC"/>
    <w:rsid w:val="00017B78"/>
    <w:rsid w:val="00034412"/>
    <w:rsid w:val="00034546"/>
    <w:rsid w:val="00045BC0"/>
    <w:rsid w:val="00070D05"/>
    <w:rsid w:val="000733A0"/>
    <w:rsid w:val="00092EEC"/>
    <w:rsid w:val="000A3E8F"/>
    <w:rsid w:val="000B1497"/>
    <w:rsid w:val="000B4839"/>
    <w:rsid w:val="000B7DC0"/>
    <w:rsid w:val="000C522D"/>
    <w:rsid w:val="000C7E8D"/>
    <w:rsid w:val="000E56A4"/>
    <w:rsid w:val="001006B0"/>
    <w:rsid w:val="00110707"/>
    <w:rsid w:val="001203B7"/>
    <w:rsid w:val="00125632"/>
    <w:rsid w:val="00161BF0"/>
    <w:rsid w:val="00161BFA"/>
    <w:rsid w:val="00170FA5"/>
    <w:rsid w:val="00172A27"/>
    <w:rsid w:val="001741E9"/>
    <w:rsid w:val="0018367F"/>
    <w:rsid w:val="001A2537"/>
    <w:rsid w:val="002026A7"/>
    <w:rsid w:val="00212867"/>
    <w:rsid w:val="00224084"/>
    <w:rsid w:val="00234383"/>
    <w:rsid w:val="00243B9A"/>
    <w:rsid w:val="0024733F"/>
    <w:rsid w:val="00247727"/>
    <w:rsid w:val="0025478D"/>
    <w:rsid w:val="00260FFB"/>
    <w:rsid w:val="0027734B"/>
    <w:rsid w:val="00285520"/>
    <w:rsid w:val="00291FB6"/>
    <w:rsid w:val="00292DDD"/>
    <w:rsid w:val="002A2F94"/>
    <w:rsid w:val="002A5D6F"/>
    <w:rsid w:val="002A5E4C"/>
    <w:rsid w:val="002A7C4B"/>
    <w:rsid w:val="002E364B"/>
    <w:rsid w:val="002E76B4"/>
    <w:rsid w:val="002F6500"/>
    <w:rsid w:val="003178CF"/>
    <w:rsid w:val="00321D0F"/>
    <w:rsid w:val="00333BE8"/>
    <w:rsid w:val="003340E0"/>
    <w:rsid w:val="003404FD"/>
    <w:rsid w:val="0035172D"/>
    <w:rsid w:val="00357726"/>
    <w:rsid w:val="003602A9"/>
    <w:rsid w:val="00364773"/>
    <w:rsid w:val="00366502"/>
    <w:rsid w:val="003818F7"/>
    <w:rsid w:val="00381D4C"/>
    <w:rsid w:val="00392958"/>
    <w:rsid w:val="003B060D"/>
    <w:rsid w:val="003C0AB6"/>
    <w:rsid w:val="003E3941"/>
    <w:rsid w:val="003F15E9"/>
    <w:rsid w:val="003F2F04"/>
    <w:rsid w:val="004466D3"/>
    <w:rsid w:val="00455662"/>
    <w:rsid w:val="00460867"/>
    <w:rsid w:val="00460B65"/>
    <w:rsid w:val="00466C59"/>
    <w:rsid w:val="00482B49"/>
    <w:rsid w:val="00491E0F"/>
    <w:rsid w:val="004B2265"/>
    <w:rsid w:val="004B7C6E"/>
    <w:rsid w:val="004C5135"/>
    <w:rsid w:val="004D0AC3"/>
    <w:rsid w:val="004D5298"/>
    <w:rsid w:val="00502D4B"/>
    <w:rsid w:val="00513390"/>
    <w:rsid w:val="00517991"/>
    <w:rsid w:val="005243A7"/>
    <w:rsid w:val="005427F2"/>
    <w:rsid w:val="0054660B"/>
    <w:rsid w:val="0055080C"/>
    <w:rsid w:val="00572255"/>
    <w:rsid w:val="005821B9"/>
    <w:rsid w:val="005963E1"/>
    <w:rsid w:val="005A060B"/>
    <w:rsid w:val="005B0ECA"/>
    <w:rsid w:val="005B6CA5"/>
    <w:rsid w:val="005D56B8"/>
    <w:rsid w:val="005D6864"/>
    <w:rsid w:val="005F10DB"/>
    <w:rsid w:val="005F327F"/>
    <w:rsid w:val="005F7973"/>
    <w:rsid w:val="006031DF"/>
    <w:rsid w:val="0060320A"/>
    <w:rsid w:val="00611B1C"/>
    <w:rsid w:val="00612F9A"/>
    <w:rsid w:val="00620651"/>
    <w:rsid w:val="006320F7"/>
    <w:rsid w:val="006356E2"/>
    <w:rsid w:val="0063680E"/>
    <w:rsid w:val="00643C11"/>
    <w:rsid w:val="006536BC"/>
    <w:rsid w:val="00661B63"/>
    <w:rsid w:val="0066526B"/>
    <w:rsid w:val="0067345C"/>
    <w:rsid w:val="00681115"/>
    <w:rsid w:val="0068794C"/>
    <w:rsid w:val="00693B81"/>
    <w:rsid w:val="006A0574"/>
    <w:rsid w:val="006A29F6"/>
    <w:rsid w:val="006A6CC0"/>
    <w:rsid w:val="006B3907"/>
    <w:rsid w:val="006B5E40"/>
    <w:rsid w:val="006D0DF5"/>
    <w:rsid w:val="006D27B3"/>
    <w:rsid w:val="006E449F"/>
    <w:rsid w:val="00701D65"/>
    <w:rsid w:val="007044C3"/>
    <w:rsid w:val="007139C9"/>
    <w:rsid w:val="00724450"/>
    <w:rsid w:val="007724B6"/>
    <w:rsid w:val="0078434A"/>
    <w:rsid w:val="00794308"/>
    <w:rsid w:val="007B3F34"/>
    <w:rsid w:val="007C1069"/>
    <w:rsid w:val="007C3577"/>
    <w:rsid w:val="007C7298"/>
    <w:rsid w:val="007D731B"/>
    <w:rsid w:val="007E47B7"/>
    <w:rsid w:val="007F3D2D"/>
    <w:rsid w:val="0082573B"/>
    <w:rsid w:val="00840B09"/>
    <w:rsid w:val="00853B6B"/>
    <w:rsid w:val="00883FB7"/>
    <w:rsid w:val="008916CB"/>
    <w:rsid w:val="008B2118"/>
    <w:rsid w:val="008B4A98"/>
    <w:rsid w:val="008B61AA"/>
    <w:rsid w:val="008C1CF9"/>
    <w:rsid w:val="008D24D6"/>
    <w:rsid w:val="008E16A0"/>
    <w:rsid w:val="008F1F13"/>
    <w:rsid w:val="00912D62"/>
    <w:rsid w:val="0091333D"/>
    <w:rsid w:val="00932C19"/>
    <w:rsid w:val="00936B70"/>
    <w:rsid w:val="009601D2"/>
    <w:rsid w:val="009703F6"/>
    <w:rsid w:val="00970AE6"/>
    <w:rsid w:val="009A20DE"/>
    <w:rsid w:val="009A6201"/>
    <w:rsid w:val="009E5289"/>
    <w:rsid w:val="009E6E23"/>
    <w:rsid w:val="00A367B5"/>
    <w:rsid w:val="00A51733"/>
    <w:rsid w:val="00A612D2"/>
    <w:rsid w:val="00A63D2F"/>
    <w:rsid w:val="00A67D4F"/>
    <w:rsid w:val="00A67ED0"/>
    <w:rsid w:val="00A83916"/>
    <w:rsid w:val="00A90B1D"/>
    <w:rsid w:val="00AD2FD1"/>
    <w:rsid w:val="00AD45D3"/>
    <w:rsid w:val="00AE431E"/>
    <w:rsid w:val="00B22640"/>
    <w:rsid w:val="00B24D16"/>
    <w:rsid w:val="00B329FD"/>
    <w:rsid w:val="00B47AE7"/>
    <w:rsid w:val="00B6257E"/>
    <w:rsid w:val="00B70CB4"/>
    <w:rsid w:val="00B743FB"/>
    <w:rsid w:val="00B80408"/>
    <w:rsid w:val="00B815E0"/>
    <w:rsid w:val="00B8482B"/>
    <w:rsid w:val="00B90084"/>
    <w:rsid w:val="00B9770D"/>
    <w:rsid w:val="00BA0158"/>
    <w:rsid w:val="00BC56D8"/>
    <w:rsid w:val="00BE0868"/>
    <w:rsid w:val="00BE4AC1"/>
    <w:rsid w:val="00BE5707"/>
    <w:rsid w:val="00BF4C9F"/>
    <w:rsid w:val="00C050F8"/>
    <w:rsid w:val="00C30E7B"/>
    <w:rsid w:val="00C628F3"/>
    <w:rsid w:val="00C709BE"/>
    <w:rsid w:val="00C7363B"/>
    <w:rsid w:val="00C97517"/>
    <w:rsid w:val="00CD596D"/>
    <w:rsid w:val="00CF7E81"/>
    <w:rsid w:val="00D062D4"/>
    <w:rsid w:val="00D1359D"/>
    <w:rsid w:val="00D1726F"/>
    <w:rsid w:val="00D4785C"/>
    <w:rsid w:val="00D5447D"/>
    <w:rsid w:val="00D54CE5"/>
    <w:rsid w:val="00D60C1B"/>
    <w:rsid w:val="00D6597A"/>
    <w:rsid w:val="00D66D1C"/>
    <w:rsid w:val="00D70BE8"/>
    <w:rsid w:val="00D85065"/>
    <w:rsid w:val="00D91C67"/>
    <w:rsid w:val="00DA303B"/>
    <w:rsid w:val="00DB73E0"/>
    <w:rsid w:val="00DD0C71"/>
    <w:rsid w:val="00DD2605"/>
    <w:rsid w:val="00DE07DC"/>
    <w:rsid w:val="00DF6AEC"/>
    <w:rsid w:val="00E32F91"/>
    <w:rsid w:val="00E52DBB"/>
    <w:rsid w:val="00E7271E"/>
    <w:rsid w:val="00E839E1"/>
    <w:rsid w:val="00ED2200"/>
    <w:rsid w:val="00EE13CF"/>
    <w:rsid w:val="00EF78F9"/>
    <w:rsid w:val="00F25BCB"/>
    <w:rsid w:val="00F4040A"/>
    <w:rsid w:val="00F42F9B"/>
    <w:rsid w:val="00F447A4"/>
    <w:rsid w:val="00F72DC4"/>
    <w:rsid w:val="00F9208A"/>
    <w:rsid w:val="00FA6DCC"/>
    <w:rsid w:val="00FC1A5F"/>
    <w:rsid w:val="00FC4CF9"/>
    <w:rsid w:val="00FD25FD"/>
    <w:rsid w:val="00FE5ED1"/>
    <w:rsid w:val="00FE7A58"/>
    <w:rsid w:val="018450A2"/>
    <w:rsid w:val="02092C94"/>
    <w:rsid w:val="0270686F"/>
    <w:rsid w:val="03404493"/>
    <w:rsid w:val="03977EC9"/>
    <w:rsid w:val="07462294"/>
    <w:rsid w:val="07DD49A7"/>
    <w:rsid w:val="07E5718F"/>
    <w:rsid w:val="08420B87"/>
    <w:rsid w:val="087370B9"/>
    <w:rsid w:val="08B1373D"/>
    <w:rsid w:val="09EB2C7F"/>
    <w:rsid w:val="0A732AB4"/>
    <w:rsid w:val="0C450EF6"/>
    <w:rsid w:val="0C48085D"/>
    <w:rsid w:val="0EA31D7A"/>
    <w:rsid w:val="0F735BF1"/>
    <w:rsid w:val="112D15EA"/>
    <w:rsid w:val="11F528ED"/>
    <w:rsid w:val="15610299"/>
    <w:rsid w:val="1577D7A9"/>
    <w:rsid w:val="158A1EC0"/>
    <w:rsid w:val="15AE5E26"/>
    <w:rsid w:val="161E5657"/>
    <w:rsid w:val="169A24D1"/>
    <w:rsid w:val="172F4AF3"/>
    <w:rsid w:val="183D0B4A"/>
    <w:rsid w:val="1AB86BAD"/>
    <w:rsid w:val="1BD712B5"/>
    <w:rsid w:val="1C0D4CD7"/>
    <w:rsid w:val="1F1C1A6B"/>
    <w:rsid w:val="1F7A6B27"/>
    <w:rsid w:val="20DB05AC"/>
    <w:rsid w:val="21F26E49"/>
    <w:rsid w:val="22001752"/>
    <w:rsid w:val="23386ADD"/>
    <w:rsid w:val="252102EC"/>
    <w:rsid w:val="25923BF7"/>
    <w:rsid w:val="25E57747"/>
    <w:rsid w:val="25F153DC"/>
    <w:rsid w:val="28C66939"/>
    <w:rsid w:val="29B86B6B"/>
    <w:rsid w:val="2A0911D4"/>
    <w:rsid w:val="2BD17B19"/>
    <w:rsid w:val="2CAE7E10"/>
    <w:rsid w:val="2D053ED4"/>
    <w:rsid w:val="314636BD"/>
    <w:rsid w:val="32171FB4"/>
    <w:rsid w:val="32963820"/>
    <w:rsid w:val="329E2759"/>
    <w:rsid w:val="331925F9"/>
    <w:rsid w:val="34806536"/>
    <w:rsid w:val="366D6646"/>
    <w:rsid w:val="36F11025"/>
    <w:rsid w:val="377D454F"/>
    <w:rsid w:val="37A632ED"/>
    <w:rsid w:val="3B876D7A"/>
    <w:rsid w:val="3CAE40D3"/>
    <w:rsid w:val="3D8A6E9C"/>
    <w:rsid w:val="3DB94D7E"/>
    <w:rsid w:val="41081BB1"/>
    <w:rsid w:val="41BE26AC"/>
    <w:rsid w:val="42F06635"/>
    <w:rsid w:val="43F3462F"/>
    <w:rsid w:val="45BB15DC"/>
    <w:rsid w:val="47AE261E"/>
    <w:rsid w:val="487B5471"/>
    <w:rsid w:val="49777AB0"/>
    <w:rsid w:val="499046CE"/>
    <w:rsid w:val="4AA0763F"/>
    <w:rsid w:val="4AF255B7"/>
    <w:rsid w:val="4C6201C8"/>
    <w:rsid w:val="4E8F31A6"/>
    <w:rsid w:val="4FA13954"/>
    <w:rsid w:val="53B75074"/>
    <w:rsid w:val="53F94E52"/>
    <w:rsid w:val="55B7ECE9"/>
    <w:rsid w:val="56B63F52"/>
    <w:rsid w:val="573168CA"/>
    <w:rsid w:val="577E46FF"/>
    <w:rsid w:val="57C93BCD"/>
    <w:rsid w:val="59DE279D"/>
    <w:rsid w:val="59E720E8"/>
    <w:rsid w:val="5A9625FF"/>
    <w:rsid w:val="5BFF136A"/>
    <w:rsid w:val="5CE56791"/>
    <w:rsid w:val="5CF60894"/>
    <w:rsid w:val="5E4B177B"/>
    <w:rsid w:val="5EA031AD"/>
    <w:rsid w:val="5F225970"/>
    <w:rsid w:val="62353C0D"/>
    <w:rsid w:val="628735C2"/>
    <w:rsid w:val="632E0D88"/>
    <w:rsid w:val="639130C5"/>
    <w:rsid w:val="63E63E5E"/>
    <w:rsid w:val="65C21C5B"/>
    <w:rsid w:val="670C5884"/>
    <w:rsid w:val="68AB3786"/>
    <w:rsid w:val="6A734AC0"/>
    <w:rsid w:val="6B0F149F"/>
    <w:rsid w:val="6C2744E2"/>
    <w:rsid w:val="6C975BF0"/>
    <w:rsid w:val="6EF94940"/>
    <w:rsid w:val="71551B19"/>
    <w:rsid w:val="725B76BF"/>
    <w:rsid w:val="72CD4776"/>
    <w:rsid w:val="73A40BF2"/>
    <w:rsid w:val="74C91279"/>
    <w:rsid w:val="7577036C"/>
    <w:rsid w:val="75FF4EC1"/>
    <w:rsid w:val="76BA0E58"/>
    <w:rsid w:val="772265B3"/>
    <w:rsid w:val="777728A5"/>
    <w:rsid w:val="78191BAF"/>
    <w:rsid w:val="78872FBC"/>
    <w:rsid w:val="79A95F2F"/>
    <w:rsid w:val="79B4667D"/>
    <w:rsid w:val="79FB55DD"/>
    <w:rsid w:val="7A751048"/>
    <w:rsid w:val="7AD22308"/>
    <w:rsid w:val="7BDDC745"/>
    <w:rsid w:val="7C9F1BC7"/>
    <w:rsid w:val="7EFA7904"/>
    <w:rsid w:val="7F2B27CD"/>
    <w:rsid w:val="EE3EF276"/>
    <w:rsid w:val="F7FD85A3"/>
    <w:rsid w:val="FB7D7C3B"/>
    <w:rsid w:val="FFDD48C7"/>
    <w:rsid w:val="FFFE51E2"/>
    <w:rsid w:val="FFFF4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68"/>
    <w:qFormat/>
    <w:uiPriority w:val="0"/>
    <w:pPr>
      <w:keepNext/>
      <w:keepLines/>
      <w:spacing w:before="260" w:after="260" w:line="413" w:lineRule="auto"/>
      <w:jc w:val="left"/>
      <w:outlineLvl w:val="1"/>
    </w:pPr>
    <w:rPr>
      <w:rFonts w:ascii="Arial" w:hAnsi="Arial"/>
      <w:b/>
      <w:sz w:val="24"/>
    </w:rPr>
  </w:style>
  <w:style w:type="paragraph" w:styleId="4">
    <w:name w:val="heading 3"/>
    <w:basedOn w:val="1"/>
    <w:next w:val="1"/>
    <w:link w:val="69"/>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link w:val="7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73"/>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0"/>
  </w:style>
  <w:style w:type="paragraph" w:styleId="33">
    <w:name w:val="Body Text Indent 2"/>
    <w:basedOn w:val="1"/>
    <w:link w:val="75"/>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6"/>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link w:val="77"/>
    <w:qFormat/>
    <w:uiPriority w:val="39"/>
    <w:pPr>
      <w:spacing w:line="360" w:lineRule="auto"/>
      <w:jc w:val="center"/>
    </w:pPr>
    <w:rPr>
      <w:b/>
      <w:kern w:val="0"/>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spacing w:line="360" w:lineRule="auto"/>
      <w:ind w:left="420" w:leftChars="200"/>
    </w:pPr>
    <w:rPr>
      <w:sz w:val="24"/>
    </w:r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9"/>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标题 2 Char1"/>
    <w:link w:val="3"/>
    <w:qFormat/>
    <w:uiPriority w:val="0"/>
    <w:rPr>
      <w:rFonts w:ascii="Arial" w:hAnsi="Arial" w:eastAsia="宋体"/>
      <w:b/>
      <w:kern w:val="2"/>
      <w:sz w:val="24"/>
    </w:rPr>
  </w:style>
  <w:style w:type="character" w:customStyle="1" w:styleId="69">
    <w:name w:val="标题 3 Char"/>
    <w:link w:val="4"/>
    <w:qFormat/>
    <w:uiPriority w:val="0"/>
    <w:rPr>
      <w:rFonts w:eastAsia="宋体"/>
      <w:b/>
      <w:kern w:val="2"/>
      <w:sz w:val="32"/>
      <w:lang w:val="en-US" w:eastAsia="zh-CN"/>
    </w:rPr>
  </w:style>
  <w:style w:type="character" w:customStyle="1" w:styleId="70">
    <w:name w:val="批注文字 Char"/>
    <w:link w:val="19"/>
    <w:qFormat/>
    <w:uiPriority w:val="0"/>
    <w:rPr>
      <w:sz w:val="24"/>
    </w:rPr>
  </w:style>
  <w:style w:type="character" w:customStyle="1" w:styleId="71">
    <w:name w:val="正文文本 Char"/>
    <w:link w:val="22"/>
    <w:qFormat/>
    <w:uiPriority w:val="0"/>
    <w:rPr>
      <w:rFonts w:ascii="仿宋_GB2312" w:eastAsia="仿宋_GB2312"/>
      <w:kern w:val="2"/>
      <w:sz w:val="32"/>
    </w:rPr>
  </w:style>
  <w:style w:type="character" w:customStyle="1" w:styleId="72">
    <w:name w:val="正文文本缩进 Char"/>
    <w:link w:val="23"/>
    <w:qFormat/>
    <w:uiPriority w:val="0"/>
    <w:rPr>
      <w:kern w:val="2"/>
      <w:sz w:val="44"/>
    </w:rPr>
  </w:style>
  <w:style w:type="character" w:customStyle="1" w:styleId="73">
    <w:name w:val="纯文本 Char"/>
    <w:link w:val="30"/>
    <w:qFormat/>
    <w:uiPriority w:val="0"/>
    <w:rPr>
      <w:rFonts w:ascii="宋体" w:hAnsi="Courier New"/>
      <w:kern w:val="2"/>
      <w:sz w:val="21"/>
    </w:rPr>
  </w:style>
  <w:style w:type="character" w:customStyle="1" w:styleId="74">
    <w:name w:val="日期 Char"/>
    <w:link w:val="32"/>
    <w:qFormat/>
    <w:uiPriority w:val="0"/>
    <w:rPr>
      <w:kern w:val="2"/>
      <w:sz w:val="28"/>
    </w:rPr>
  </w:style>
  <w:style w:type="character" w:customStyle="1" w:styleId="75">
    <w:name w:val="正文文本缩进 2 Char1"/>
    <w:link w:val="33"/>
    <w:qFormat/>
    <w:uiPriority w:val="0"/>
    <w:rPr>
      <w:kern w:val="2"/>
      <w:sz w:val="28"/>
    </w:rPr>
  </w:style>
  <w:style w:type="character" w:customStyle="1" w:styleId="76">
    <w:name w:val="页脚 Char"/>
    <w:link w:val="35"/>
    <w:qFormat/>
    <w:uiPriority w:val="0"/>
    <w:rPr>
      <w:kern w:val="2"/>
      <w:sz w:val="18"/>
    </w:rPr>
  </w:style>
  <w:style w:type="character" w:customStyle="1" w:styleId="77">
    <w:name w:val="目录 1 Char"/>
    <w:link w:val="37"/>
    <w:qFormat/>
    <w:uiPriority w:val="0"/>
    <w:rPr>
      <w:rFonts w:ascii="Times New Roman" w:hAnsi="Times New Roman" w:eastAsia="宋体"/>
      <w:b/>
      <w:sz w:val="24"/>
    </w:rPr>
  </w:style>
  <w:style w:type="character" w:customStyle="1" w:styleId="78">
    <w:name w:val="脚注文本 Char"/>
    <w:link w:val="40"/>
    <w:qFormat/>
    <w:uiPriority w:val="0"/>
    <w:rPr>
      <w:kern w:val="2"/>
      <w:sz w:val="18"/>
    </w:rPr>
  </w:style>
  <w:style w:type="character" w:customStyle="1" w:styleId="79">
    <w:name w:val="批注主题 Char"/>
    <w:link w:val="54"/>
    <w:qFormat/>
    <w:uiPriority w:val="0"/>
  </w:style>
  <w:style w:type="character" w:customStyle="1" w:styleId="80">
    <w:name w:val="正文首行缩进 2 Char"/>
    <w:link w:val="56"/>
    <w:qFormat/>
    <w:uiPriority w:val="0"/>
  </w:style>
  <w:style w:type="character" w:customStyle="1" w:styleId="81">
    <w:name w:val="H2 Char"/>
    <w:qFormat/>
    <w:uiPriority w:val="0"/>
    <w:rPr>
      <w:rFonts w:ascii="Arial" w:hAnsi="Arial" w:eastAsia="宋体"/>
      <w:kern w:val="2"/>
      <w:sz w:val="28"/>
      <w:lang w:val="en-US" w:eastAsia="zh-CN"/>
    </w:rPr>
  </w:style>
  <w:style w:type="character" w:customStyle="1" w:styleId="82">
    <w:name w:val="Char Char7"/>
    <w:qFormat/>
    <w:uiPriority w:val="0"/>
    <w:rPr>
      <w:rFonts w:ascii="宋体" w:hAnsi="宋体" w:eastAsia="宋体"/>
      <w:kern w:val="2"/>
      <w:sz w:val="28"/>
    </w:rPr>
  </w:style>
  <w:style w:type="character" w:customStyle="1" w:styleId="83">
    <w:name w:val="文字 Char Char"/>
    <w:link w:val="84"/>
    <w:qFormat/>
    <w:uiPriority w:val="0"/>
    <w:rPr>
      <w:rFonts w:ascii="宋体"/>
      <w:kern w:val="2"/>
      <w:sz w:val="28"/>
    </w:rPr>
  </w:style>
  <w:style w:type="paragraph" w:customStyle="1" w:styleId="84">
    <w:name w:val="文字"/>
    <w:basedOn w:val="1"/>
    <w:link w:val="83"/>
    <w:qFormat/>
    <w:uiPriority w:val="0"/>
    <w:pPr>
      <w:tabs>
        <w:tab w:val="left" w:pos="8520"/>
      </w:tabs>
      <w:spacing w:line="312" w:lineRule="auto"/>
      <w:ind w:right="-210" w:firstLine="556"/>
    </w:pPr>
    <w:rPr>
      <w:rFonts w:ascii="宋体"/>
    </w:rPr>
  </w:style>
  <w:style w:type="character" w:customStyle="1" w:styleId="85">
    <w:name w:val="top-det1"/>
    <w:qFormat/>
    <w:uiPriority w:val="0"/>
    <w:rPr>
      <w:b/>
      <w:color w:val="000000"/>
    </w:rPr>
  </w:style>
  <w:style w:type="character" w:customStyle="1" w:styleId="86">
    <w:name w:val="crowed11"/>
    <w:qFormat/>
    <w:uiPriority w:val="0"/>
    <w:rPr>
      <w:rFonts w:hint="default"/>
      <w:sz w:val="24"/>
    </w:rPr>
  </w:style>
  <w:style w:type="character" w:customStyle="1" w:styleId="87">
    <w:name w:val="v151"/>
    <w:qFormat/>
    <w:uiPriority w:val="0"/>
    <w:rPr>
      <w:sz w:val="18"/>
    </w:rPr>
  </w:style>
  <w:style w:type="character" w:customStyle="1" w:styleId="88">
    <w:name w:val="title_emph1"/>
    <w:qFormat/>
    <w:uiPriority w:val="0"/>
    <w:rPr>
      <w:rFonts w:hint="default" w:ascii="Arial" w:hAnsi="Arial"/>
      <w:b/>
      <w:sz w:val="20"/>
    </w:rPr>
  </w:style>
  <w:style w:type="character" w:customStyle="1" w:styleId="89">
    <w:name w:val="Hyperlink.0"/>
    <w:qFormat/>
    <w:uiPriority w:val="0"/>
    <w:rPr>
      <w:rFonts w:ascii="宋体" w:hAnsi="宋体" w:eastAsia="宋体" w:cs="宋体"/>
      <w:sz w:val="24"/>
      <w:szCs w:val="24"/>
      <w:lang w:val="en-US"/>
    </w:rPr>
  </w:style>
  <w:style w:type="character" w:customStyle="1" w:styleId="90">
    <w:name w:val="Char Char3"/>
    <w:qFormat/>
    <w:uiPriority w:val="0"/>
    <w:rPr>
      <w:rFonts w:eastAsia="宋体"/>
      <w:kern w:val="2"/>
      <w:sz w:val="18"/>
      <w:lang w:val="en-US" w:eastAsia="zh-CN"/>
    </w:rPr>
  </w:style>
  <w:style w:type="character" w:customStyle="1" w:styleId="91">
    <w:name w:val="Char Char11"/>
    <w:qFormat/>
    <w:uiPriority w:val="0"/>
    <w:rPr>
      <w:rFonts w:ascii="宋体"/>
      <w:kern w:val="2"/>
      <w:sz w:val="28"/>
    </w:rPr>
  </w:style>
  <w:style w:type="character" w:customStyle="1" w:styleId="92">
    <w:name w:val="Char Char6"/>
    <w:qFormat/>
    <w:uiPriority w:val="0"/>
    <w:rPr>
      <w:rFonts w:ascii="仿宋_GB2312" w:eastAsia="仿宋_GB2312"/>
      <w:kern w:val="2"/>
      <w:sz w:val="32"/>
    </w:rPr>
  </w:style>
  <w:style w:type="character" w:customStyle="1" w:styleId="93">
    <w:name w:val="正文 + 三号 Char"/>
    <w:qFormat/>
    <w:uiPriority w:val="0"/>
    <w:rPr>
      <w:rFonts w:eastAsia="宋体"/>
      <w:kern w:val="2"/>
      <w:sz w:val="21"/>
      <w:lang w:val="en-US" w:eastAsia="zh-CN"/>
    </w:rPr>
  </w:style>
  <w:style w:type="character" w:customStyle="1" w:styleId="94">
    <w:name w:val="样式 宋体"/>
    <w:qFormat/>
    <w:uiPriority w:val="0"/>
    <w:rPr>
      <w:rFonts w:ascii="宋体" w:hAnsi="宋体" w:eastAsia="宋体"/>
      <w:sz w:val="28"/>
    </w:rPr>
  </w:style>
  <w:style w:type="character" w:customStyle="1" w:styleId="95">
    <w:name w:val="font1"/>
    <w:qFormat/>
    <w:uiPriority w:val="0"/>
    <w:rPr>
      <w:color w:val="000000"/>
      <w:sz w:val="18"/>
    </w:rPr>
  </w:style>
  <w:style w:type="character" w:customStyle="1" w:styleId="96">
    <w:name w:val="Char Char4"/>
    <w:qFormat/>
    <w:uiPriority w:val="0"/>
    <w:rPr>
      <w:rFonts w:eastAsia="宋体"/>
      <w:b/>
      <w:kern w:val="2"/>
      <w:sz w:val="21"/>
      <w:lang w:val="en-US" w:eastAsia="zh-CN"/>
    </w:rPr>
  </w:style>
  <w:style w:type="character" w:customStyle="1" w:styleId="97">
    <w:name w:val="Table Text Char Char Char Char Char Char"/>
    <w:qFormat/>
    <w:uiPriority w:val="0"/>
    <w:rPr>
      <w:rFonts w:ascii="Arial" w:hAnsi="Arial"/>
      <w:kern w:val="2"/>
      <w:sz w:val="18"/>
      <w:lang w:val="en-US" w:eastAsia="zh-CN" w:bidi="ar-SA"/>
    </w:rPr>
  </w:style>
  <w:style w:type="character" w:customStyle="1" w:styleId="98">
    <w:name w:val="Char Char2"/>
    <w:qFormat/>
    <w:uiPriority w:val="0"/>
    <w:rPr>
      <w:rFonts w:eastAsia="宋体"/>
      <w:kern w:val="2"/>
      <w:sz w:val="18"/>
      <w:lang w:val="en-US" w:eastAsia="zh-CN"/>
    </w:rPr>
  </w:style>
  <w:style w:type="character" w:customStyle="1" w:styleId="99">
    <w:name w:val="Table Text Char Char Char Char Char Char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Char Char Char Char Char Char Char Char Char"/>
    <w:qFormat/>
    <w:uiPriority w:val="0"/>
    <w:rPr>
      <w:rFonts w:ascii="宋体" w:hAnsi="宋体" w:eastAsia="宋体"/>
      <w:kern w:val="2"/>
      <w:sz w:val="24"/>
      <w:lang w:val="en-US" w:eastAsia="zh-CN" w:bidi="ar-SA"/>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Table Text Char1 Char Char"/>
    <w:qFormat/>
    <w:uiPriority w:val="0"/>
    <w:rPr>
      <w:rFonts w:ascii="Arial" w:hAnsi="Arial"/>
      <w:kern w:val="2"/>
      <w:sz w:val="18"/>
      <w:lang w:val="en-US" w:eastAsia="zh-CN" w:bidi="ar-SA"/>
    </w:rPr>
  </w:style>
  <w:style w:type="character" w:customStyle="1" w:styleId="104">
    <w:name w:val="未命名11"/>
    <w:qFormat/>
    <w:uiPriority w:val="0"/>
    <w:rPr>
      <w:color w:val="77FFFF"/>
      <w:sz w:val="24"/>
    </w:rPr>
  </w:style>
  <w:style w:type="character" w:customStyle="1" w:styleId="105">
    <w:name w:val="content-white1"/>
    <w:qFormat/>
    <w:uiPriority w:val="0"/>
    <w:rPr>
      <w:color w:val="auto"/>
      <w:sz w:val="18"/>
      <w:u w:val="none"/>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书正文:  0.74 厘米 Char1"/>
    <w:qFormat/>
    <w:uiPriority w:val="0"/>
    <w:rPr>
      <w:rFonts w:eastAsia="宋体"/>
      <w:kern w:val="2"/>
      <w:sz w:val="24"/>
      <w:lang w:val="en-US" w:eastAsia="zh-CN"/>
    </w:rPr>
  </w:style>
  <w:style w:type="character" w:customStyle="1" w:styleId="108">
    <w:name w:val="Char Char5"/>
    <w:qFormat/>
    <w:uiPriority w:val="0"/>
    <w:rPr>
      <w:rFonts w:ascii="Arial" w:hAnsi="Arial" w:eastAsia="宋体"/>
      <w:b/>
      <w:smallCaps/>
      <w:kern w:val="28"/>
      <w:sz w:val="36"/>
      <w:lang w:val="en-US" w:eastAsia="en-US"/>
    </w:rPr>
  </w:style>
  <w:style w:type="character" w:customStyle="1" w:styleId="109">
    <w:name w:val="无"/>
    <w:qFormat/>
    <w:uiPriority w:val="0"/>
  </w:style>
  <w:style w:type="paragraph" w:customStyle="1" w:styleId="11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11">
    <w:name w:val="Char Char Char Char Char"/>
    <w:basedOn w:val="1"/>
    <w:qFormat/>
    <w:uiPriority w:val="0"/>
    <w:pPr>
      <w:tabs>
        <w:tab w:val="left" w:pos="425"/>
      </w:tabs>
      <w:ind w:left="1620" w:hanging="360"/>
    </w:pPr>
    <w:rPr>
      <w:rFonts w:ascii="Tahoma" w:hAnsi="Tahoma"/>
      <w:sz w:val="24"/>
    </w:rPr>
  </w:style>
  <w:style w:type="paragraph" w:customStyle="1" w:styleId="11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3">
    <w:name w:val="一级条标题"/>
    <w:basedOn w:val="114"/>
    <w:next w:val="115"/>
    <w:qFormat/>
    <w:uiPriority w:val="0"/>
    <w:pPr>
      <w:spacing w:beforeLines="0" w:afterLines="0"/>
      <w:ind w:left="525"/>
      <w:outlineLvl w:val="2"/>
    </w:pPr>
    <w:rPr>
      <w:sz w:val="21"/>
    </w:rPr>
  </w:style>
  <w:style w:type="paragraph" w:customStyle="1" w:styleId="114">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Note"/>
    <w:basedOn w:val="1"/>
    <w:qFormat/>
    <w:uiPriority w:val="0"/>
    <w:pPr>
      <w:pBdr>
        <w:top w:val="single" w:color="auto" w:sz="12" w:space="3"/>
        <w:bottom w:val="single" w:color="auto" w:sz="12" w:space="3"/>
      </w:pBdr>
      <w:spacing w:line="360" w:lineRule="auto"/>
    </w:pPr>
    <w:rPr>
      <w:sz w:val="24"/>
    </w:rPr>
  </w:style>
  <w:style w:type="paragraph" w:customStyle="1" w:styleId="117">
    <w:name w:val="标书正文:  0.74 厘米"/>
    <w:basedOn w:val="1"/>
    <w:qFormat/>
    <w:uiPriority w:val="0"/>
    <w:pPr>
      <w:snapToGrid w:val="0"/>
      <w:spacing w:line="360" w:lineRule="auto"/>
      <w:ind w:firstLine="420"/>
    </w:pPr>
    <w:rPr>
      <w:sz w:val="24"/>
    </w:rPr>
  </w:style>
  <w:style w:type="paragraph" w:customStyle="1" w:styleId="118">
    <w:name w:val="摘要"/>
    <w:basedOn w:val="1"/>
    <w:next w:val="3"/>
    <w:qFormat/>
    <w:uiPriority w:val="0"/>
    <w:pPr>
      <w:spacing w:line="360" w:lineRule="auto"/>
    </w:pPr>
    <w:rPr>
      <w:rFonts w:eastAsia="黑体"/>
      <w:sz w:val="20"/>
    </w:rPr>
  </w:style>
  <w:style w:type="paragraph" w:customStyle="1" w:styleId="119">
    <w:name w:val="表格正文"/>
    <w:basedOn w:val="1"/>
    <w:qFormat/>
    <w:uiPriority w:val="0"/>
    <w:rPr>
      <w:rFonts w:ascii="Calibri" w:hAnsi="Calibri" w:eastAsia="仿宋" w:cs="宋体"/>
      <w:sz w:val="24"/>
    </w:rPr>
  </w:style>
  <w:style w:type="paragraph" w:customStyle="1" w:styleId="120">
    <w:name w:val="Style Heading 3h3Heading 3 - oldLevel 3 HeadH3level_3PIM 3se..."/>
    <w:basedOn w:val="4"/>
    <w:qFormat/>
    <w:uiPriority w:val="0"/>
    <w:pPr>
      <w:tabs>
        <w:tab w:val="left" w:pos="709"/>
        <w:tab w:val="left" w:pos="1620"/>
      </w:tabs>
      <w:ind w:left="1620" w:hanging="360"/>
    </w:pPr>
  </w:style>
  <w:style w:type="paragraph" w:customStyle="1" w:styleId="121">
    <w:name w:val="正文文本 21"/>
    <w:basedOn w:val="1"/>
    <w:qFormat/>
    <w:uiPriority w:val="0"/>
    <w:pPr>
      <w:adjustRightInd w:val="0"/>
      <w:spacing w:before="120" w:line="360" w:lineRule="auto"/>
      <w:ind w:firstLine="480"/>
      <w:textAlignment w:val="baseline"/>
    </w:pPr>
    <w:rPr>
      <w:sz w:val="24"/>
    </w:rPr>
  </w:style>
  <w:style w:type="paragraph" w:customStyle="1" w:styleId="12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2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24">
    <w:name w:val="文本1"/>
    <w:basedOn w:val="1"/>
    <w:qFormat/>
    <w:uiPriority w:val="0"/>
    <w:pPr>
      <w:adjustRightInd w:val="0"/>
      <w:spacing w:line="312" w:lineRule="atLeast"/>
      <w:jc w:val="center"/>
      <w:textAlignment w:val="baseline"/>
    </w:pPr>
    <w:rPr>
      <w:kern w:val="0"/>
      <w:sz w:val="18"/>
    </w:rPr>
  </w:style>
  <w:style w:type="paragraph" w:customStyle="1" w:styleId="125">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2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7">
    <w:name w:val="Char Char 字元 字元 字元 Char Char Char Char"/>
    <w:basedOn w:val="1"/>
    <w:qFormat/>
    <w:uiPriority w:val="0"/>
    <w:pPr>
      <w:adjustRightInd w:val="0"/>
      <w:spacing w:line="360" w:lineRule="auto"/>
    </w:pPr>
    <w:rPr>
      <w:kern w:val="0"/>
      <w:sz w:val="24"/>
    </w:rPr>
  </w:style>
  <w:style w:type="paragraph" w:customStyle="1" w:styleId="128">
    <w:name w:val="简单回函地址"/>
    <w:basedOn w:val="1"/>
    <w:qFormat/>
    <w:uiPriority w:val="0"/>
    <w:pPr>
      <w:adjustRightInd w:val="0"/>
      <w:snapToGrid w:val="0"/>
      <w:spacing w:line="360" w:lineRule="auto"/>
    </w:pPr>
    <w:rPr>
      <w:sz w:val="24"/>
    </w:rPr>
  </w:style>
  <w:style w:type="paragraph" w:customStyle="1" w:styleId="129">
    <w:name w:val="正文 A"/>
    <w:next w:val="4"/>
    <w:qFormat/>
    <w:uiPriority w:val="0"/>
    <w:pPr>
      <w:widowControl w:val="0"/>
      <w:jc w:val="both"/>
    </w:pPr>
    <w:rPr>
      <w:rFonts w:ascii="Times New Roman" w:hAnsi="Times New Roman" w:eastAsia="Arial Unicode MS" w:cs="Arial Unicode MS"/>
      <w:color w:val="000000"/>
      <w:kern w:val="2"/>
      <w:sz w:val="28"/>
      <w:szCs w:val="28"/>
      <w:lang w:val="en-US" w:eastAsia="zh-CN" w:bidi="ar-SA"/>
    </w:rPr>
  </w:style>
  <w:style w:type="paragraph" w:customStyle="1" w:styleId="130">
    <w:name w:val="段落正文"/>
    <w:basedOn w:val="1"/>
    <w:qFormat/>
    <w:uiPriority w:val="0"/>
    <w:pPr>
      <w:spacing w:beforeLines="50" w:line="360" w:lineRule="auto"/>
      <w:ind w:firstLine="200" w:firstLineChars="200"/>
    </w:pPr>
    <w:rPr>
      <w:spacing w:val="2"/>
      <w:sz w:val="24"/>
    </w:rPr>
  </w:style>
  <w:style w:type="paragraph" w:customStyle="1" w:styleId="131">
    <w:name w:val="样式1xz"/>
    <w:basedOn w:val="1"/>
    <w:qFormat/>
    <w:uiPriority w:val="0"/>
    <w:pPr>
      <w:tabs>
        <w:tab w:val="left" w:pos="1050"/>
        <w:tab w:val="right" w:leader="dot" w:pos="8296"/>
      </w:tabs>
    </w:pPr>
    <w:rPr>
      <w:caps/>
      <w:spacing w:val="20"/>
      <w:sz w:val="24"/>
    </w:rPr>
  </w:style>
  <w:style w:type="paragraph" w:customStyle="1" w:styleId="132">
    <w:name w:val="首行缩进 1"/>
    <w:basedOn w:val="1"/>
    <w:qFormat/>
    <w:uiPriority w:val="0"/>
    <w:pPr>
      <w:spacing w:after="120" w:line="360" w:lineRule="auto"/>
      <w:ind w:firstLine="200" w:firstLineChars="200"/>
    </w:pPr>
    <w:rPr>
      <w:sz w:val="24"/>
    </w:rPr>
  </w:style>
  <w:style w:type="paragraph" w:customStyle="1" w:styleId="133">
    <w:name w:val="表格文本"/>
    <w:qFormat/>
    <w:uiPriority w:val="0"/>
    <w:pPr>
      <w:tabs>
        <w:tab w:val="decimal" w:pos="0"/>
      </w:tabs>
    </w:pPr>
    <w:rPr>
      <w:rFonts w:ascii="Arial" w:hAnsi="Arial" w:eastAsia="宋体" w:cs="Times New Roman"/>
      <w:sz w:val="21"/>
      <w:lang w:val="en-US" w:eastAsia="zh-CN" w:bidi="ar-SA"/>
    </w:rPr>
  </w:style>
  <w:style w:type="paragraph" w:customStyle="1" w:styleId="134">
    <w:name w:val="正文（首行不缩进）"/>
    <w:basedOn w:val="1"/>
    <w:qFormat/>
    <w:uiPriority w:val="0"/>
    <w:pPr>
      <w:autoSpaceDE w:val="0"/>
      <w:autoSpaceDN w:val="0"/>
      <w:adjustRightInd w:val="0"/>
      <w:spacing w:line="360" w:lineRule="auto"/>
      <w:jc w:val="left"/>
    </w:pPr>
    <w:rPr>
      <w:kern w:val="0"/>
      <w:sz w:val="21"/>
    </w:rPr>
  </w:style>
  <w:style w:type="paragraph" w:customStyle="1" w:styleId="13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6">
    <w:name w:val="Char1 Char Char Char"/>
    <w:basedOn w:val="1"/>
    <w:qFormat/>
    <w:uiPriority w:val="0"/>
    <w:rPr>
      <w:rFonts w:ascii="Tahoma" w:hAnsi="Tahoma"/>
      <w:sz w:val="24"/>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39">
    <w:name w:val="正文字缩2字"/>
    <w:basedOn w:val="1"/>
    <w:qFormat/>
    <w:uiPriority w:val="0"/>
    <w:pPr>
      <w:spacing w:before="60" w:after="60" w:line="360" w:lineRule="auto"/>
      <w:ind w:left="200" w:leftChars="200" w:firstLine="200" w:firstLineChars="200"/>
    </w:pPr>
    <w:rPr>
      <w:sz w:val="24"/>
    </w:rPr>
  </w:style>
  <w:style w:type="paragraph" w:customStyle="1" w:styleId="14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4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2">
    <w:name w:val="二级列表"/>
    <w:basedOn w:val="130"/>
    <w:next w:val="130"/>
    <w:qFormat/>
    <w:uiPriority w:val="0"/>
    <w:pPr>
      <w:tabs>
        <w:tab w:val="left" w:pos="2120"/>
      </w:tabs>
      <w:ind w:firstLine="0" w:firstLineChars="0"/>
    </w:pPr>
    <w:rPr>
      <w:b/>
    </w:rPr>
  </w:style>
  <w:style w:type="paragraph" w:customStyle="1" w:styleId="143">
    <w:name w:val="Char"/>
    <w:basedOn w:val="1"/>
    <w:qFormat/>
    <w:uiPriority w:val="0"/>
    <w:pPr>
      <w:spacing w:line="240" w:lineRule="atLeast"/>
      <w:ind w:left="420" w:firstLine="420"/>
    </w:pPr>
    <w:rPr>
      <w:kern w:val="0"/>
      <w:sz w:val="21"/>
    </w:rPr>
  </w:style>
  <w:style w:type="paragraph" w:customStyle="1" w:styleId="144">
    <w:name w:val="样式3"/>
    <w:basedOn w:val="2"/>
    <w:next w:val="2"/>
    <w:qFormat/>
    <w:uiPriority w:val="0"/>
    <w:pPr>
      <w:keepLines/>
      <w:adjustRightInd w:val="0"/>
      <w:spacing w:before="340" w:after="330" w:line="576" w:lineRule="auto"/>
    </w:pPr>
    <w:rPr>
      <w:rFonts w:ascii="Times New Roman" w:eastAsia="黑体"/>
      <w:b w:val="0"/>
      <w:kern w:val="44"/>
      <w:sz w:val="44"/>
    </w:rPr>
  </w:style>
  <w:style w:type="paragraph" w:customStyle="1" w:styleId="145">
    <w:name w:val="正文1"/>
    <w:basedOn w:val="1"/>
    <w:qFormat/>
    <w:uiPriority w:val="0"/>
    <w:pPr>
      <w:spacing w:line="300" w:lineRule="auto"/>
      <w:ind w:firstLine="200" w:firstLineChars="200"/>
    </w:pPr>
    <w:rPr>
      <w:sz w:val="24"/>
    </w:rPr>
  </w:style>
  <w:style w:type="paragraph" w:customStyle="1" w:styleId="14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47">
    <w:name w:val="1"/>
    <w:basedOn w:val="1"/>
    <w:next w:val="30"/>
    <w:qFormat/>
    <w:uiPriority w:val="0"/>
    <w:rPr>
      <w:rFonts w:ascii="宋体" w:hAnsi="Courier New"/>
      <w:sz w:val="21"/>
    </w:rPr>
  </w:style>
  <w:style w:type="paragraph" w:customStyle="1" w:styleId="14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9">
    <w:name w:val="样式 首行缩进:  0.74 厘米"/>
    <w:basedOn w:val="1"/>
    <w:qFormat/>
    <w:uiPriority w:val="0"/>
    <w:pPr>
      <w:spacing w:line="360" w:lineRule="auto"/>
      <w:ind w:firstLine="420"/>
    </w:pPr>
    <w:rPr>
      <w:sz w:val="24"/>
    </w:rPr>
  </w:style>
  <w:style w:type="paragraph" w:customStyle="1" w:styleId="150">
    <w:name w:val="Char Char Char Char Char Char Char Char Char Char Char Char Char Char Char Char"/>
    <w:basedOn w:val="1"/>
    <w:qFormat/>
    <w:uiPriority w:val="0"/>
    <w:pPr>
      <w:tabs>
        <w:tab w:val="left" w:pos="360"/>
      </w:tabs>
    </w:pPr>
    <w:rPr>
      <w:sz w:val="24"/>
    </w:rPr>
  </w:style>
  <w:style w:type="paragraph" w:customStyle="1" w:styleId="151">
    <w:name w:val="正文文本缩进 21"/>
    <w:basedOn w:val="1"/>
    <w:qFormat/>
    <w:uiPriority w:val="0"/>
    <w:pPr>
      <w:adjustRightInd w:val="0"/>
      <w:spacing w:before="120"/>
      <w:ind w:firstLine="420"/>
      <w:textAlignment w:val="baseline"/>
    </w:pPr>
    <w:rPr>
      <w:sz w:val="24"/>
    </w:rPr>
  </w:style>
  <w:style w:type="paragraph" w:customStyle="1" w:styleId="152">
    <w:name w:val="Title - Date"/>
    <w:basedOn w:val="53"/>
    <w:next w:val="1"/>
    <w:qFormat/>
    <w:uiPriority w:val="0"/>
    <w:pPr>
      <w:spacing w:before="240" w:after="720"/>
    </w:pPr>
    <w:rPr>
      <w:sz w:val="28"/>
    </w:rPr>
  </w:style>
  <w:style w:type="paragraph" w:customStyle="1" w:styleId="153">
    <w:name w:val="样式 行距: 1.5 倍行距1"/>
    <w:basedOn w:val="1"/>
    <w:qFormat/>
    <w:uiPriority w:val="0"/>
    <w:pPr>
      <w:snapToGrid w:val="0"/>
    </w:pPr>
    <w:rPr>
      <w:sz w:val="21"/>
    </w:rPr>
  </w:style>
  <w:style w:type="paragraph" w:customStyle="1" w:styleId="154">
    <w:name w:val="关键词"/>
    <w:basedOn w:val="1"/>
    <w:next w:val="1"/>
    <w:qFormat/>
    <w:uiPriority w:val="0"/>
    <w:pPr>
      <w:spacing w:line="360" w:lineRule="auto"/>
    </w:pPr>
    <w:rPr>
      <w:rFonts w:eastAsia="黑体"/>
      <w:sz w:val="20"/>
    </w:rPr>
  </w:style>
  <w:style w:type="paragraph" w:customStyle="1" w:styleId="155">
    <w:name w:val="样式 标题 1 + 居中 段前: 6 磅 段后: 6 磅 行距: 1.5 倍行距"/>
    <w:basedOn w:val="2"/>
    <w:qFormat/>
    <w:uiPriority w:val="0"/>
    <w:pPr>
      <w:keepLines/>
      <w:adjustRightInd w:val="0"/>
      <w:spacing w:before="120" w:after="120" w:line="360" w:lineRule="auto"/>
    </w:pPr>
    <w:rPr>
      <w:rFonts w:ascii="Times New Roman"/>
      <w:b w:val="0"/>
      <w:kern w:val="44"/>
      <w:sz w:val="32"/>
    </w:rPr>
  </w:style>
  <w:style w:type="paragraph" w:customStyle="1" w:styleId="15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57">
    <w:name w:val="图片文字"/>
    <w:basedOn w:val="1"/>
    <w:qFormat/>
    <w:uiPriority w:val="0"/>
    <w:pPr>
      <w:spacing w:line="240" w:lineRule="atLeast"/>
      <w:jc w:val="center"/>
    </w:pPr>
    <w:rPr>
      <w:sz w:val="21"/>
    </w:rPr>
  </w:style>
  <w:style w:type="paragraph" w:customStyle="1" w:styleId="158">
    <w:name w:val="样式4"/>
    <w:basedOn w:val="5"/>
    <w:qFormat/>
    <w:uiPriority w:val="0"/>
    <w:pPr>
      <w:adjustRightInd w:val="0"/>
      <w:snapToGrid w:val="0"/>
    </w:pPr>
  </w:style>
  <w:style w:type="paragraph" w:customStyle="1" w:styleId="15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2">
    <w:name w:val="样式 宋体 五号 行距: 单倍行距"/>
    <w:basedOn w:val="1"/>
    <w:qFormat/>
    <w:uiPriority w:val="0"/>
    <w:pPr>
      <w:adjustRightInd w:val="0"/>
      <w:jc w:val="left"/>
    </w:pPr>
    <w:rPr>
      <w:rFonts w:ascii="宋体" w:hAnsi="宋体"/>
      <w:kern w:val="0"/>
      <w:sz w:val="21"/>
    </w:rPr>
  </w:style>
  <w:style w:type="paragraph" w:customStyle="1" w:styleId="163">
    <w:name w:val="Char2"/>
    <w:basedOn w:val="1"/>
    <w:qFormat/>
    <w:uiPriority w:val="0"/>
    <w:pPr>
      <w:spacing w:line="240" w:lineRule="atLeast"/>
      <w:ind w:left="420" w:firstLine="420"/>
    </w:pPr>
    <w:rPr>
      <w:kern w:val="0"/>
      <w:sz w:val="21"/>
    </w:rPr>
  </w:style>
  <w:style w:type="paragraph" w:customStyle="1" w:styleId="164">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65">
    <w:name w:val="Char1 Char Char Char1"/>
    <w:basedOn w:val="1"/>
    <w:qFormat/>
    <w:uiPriority w:val="0"/>
    <w:rPr>
      <w:rFonts w:ascii="Tahoma" w:hAnsi="Tahoma"/>
      <w:sz w:val="30"/>
    </w:rPr>
  </w:style>
  <w:style w:type="paragraph" w:customStyle="1" w:styleId="166">
    <w:name w:val="没有缩进（为图形使用）"/>
    <w:basedOn w:val="1"/>
    <w:qFormat/>
    <w:uiPriority w:val="0"/>
    <w:pPr>
      <w:spacing w:before="120" w:after="120" w:line="360" w:lineRule="auto"/>
    </w:pPr>
    <w:rPr>
      <w:sz w:val="24"/>
    </w:rPr>
  </w:style>
  <w:style w:type="paragraph" w:customStyle="1" w:styleId="16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8">
    <w:name w:val="表文字"/>
    <w:qFormat/>
    <w:uiPriority w:val="0"/>
    <w:rPr>
      <w:rFonts w:ascii="宋体" w:hAnsi="Times New Roman" w:eastAsia="宋体" w:cs="Times New Roman"/>
      <w:kern w:val="2"/>
      <w:lang w:val="en-US" w:eastAsia="zh-CN" w:bidi="ar-SA"/>
    </w:rPr>
  </w:style>
  <w:style w:type="paragraph" w:customStyle="1" w:styleId="169">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72">
    <w:name w:val="00"/>
    <w:basedOn w:val="1"/>
    <w:qFormat/>
    <w:uiPriority w:val="0"/>
    <w:pPr>
      <w:autoSpaceDE w:val="0"/>
      <w:autoSpaceDN w:val="0"/>
      <w:adjustRightInd w:val="0"/>
      <w:jc w:val="left"/>
    </w:pPr>
    <w:rPr>
      <w:rFonts w:ascii="黑体" w:eastAsia="黑体"/>
      <w:b/>
      <w:kern w:val="0"/>
      <w:sz w:val="20"/>
    </w:rPr>
  </w:style>
  <w:style w:type="paragraph" w:customStyle="1" w:styleId="173">
    <w:name w:val="样式 样式 首行缩进:  2 字符 + 首行缩进:  2 字符"/>
    <w:basedOn w:val="1"/>
    <w:qFormat/>
    <w:uiPriority w:val="0"/>
    <w:pPr>
      <w:spacing w:line="360" w:lineRule="auto"/>
      <w:ind w:firstLine="480" w:firstLineChars="200"/>
    </w:pPr>
    <w:rPr>
      <w:sz w:val="24"/>
    </w:rPr>
  </w:style>
  <w:style w:type="paragraph" w:customStyle="1" w:styleId="174">
    <w:name w:val="列表项目"/>
    <w:basedOn w:val="1"/>
    <w:qFormat/>
    <w:uiPriority w:val="0"/>
    <w:pPr>
      <w:tabs>
        <w:tab w:val="left" w:pos="420"/>
      </w:tabs>
      <w:spacing w:line="288" w:lineRule="auto"/>
      <w:ind w:left="840" w:leftChars="200" w:hanging="420" w:hangingChars="200"/>
    </w:pPr>
    <w:rPr>
      <w:sz w:val="21"/>
    </w:rPr>
  </w:style>
  <w:style w:type="paragraph" w:customStyle="1" w:styleId="175">
    <w:name w:val="样式1"/>
    <w:basedOn w:val="5"/>
    <w:qFormat/>
    <w:uiPriority w:val="0"/>
    <w:pPr>
      <w:tabs>
        <w:tab w:val="left" w:pos="720"/>
      </w:tabs>
      <w:spacing w:before="500" w:after="260" w:line="560" w:lineRule="atLeast"/>
      <w:ind w:left="420" w:hanging="420"/>
    </w:pPr>
  </w:style>
  <w:style w:type="paragraph" w:customStyle="1" w:styleId="176">
    <w:name w:val="表头"/>
    <w:basedOn w:val="119"/>
    <w:qFormat/>
    <w:uiPriority w:val="0"/>
    <w:pPr>
      <w:jc w:val="center"/>
    </w:pPr>
    <w:rPr>
      <w:b/>
      <w:bCs/>
    </w:rPr>
  </w:style>
  <w:style w:type="paragraph" w:customStyle="1" w:styleId="177">
    <w:name w:val="标题无"/>
    <w:basedOn w:val="1"/>
    <w:qFormat/>
    <w:uiPriority w:val="0"/>
    <w:pPr>
      <w:spacing w:line="360" w:lineRule="auto"/>
    </w:pPr>
    <w:rPr>
      <w:sz w:val="24"/>
    </w:rPr>
  </w:style>
  <w:style w:type="paragraph" w:customStyle="1" w:styleId="178">
    <w:name w:val="IN Feature"/>
    <w:next w:val="17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0">
    <w:name w:val="表头样式"/>
    <w:basedOn w:val="1"/>
    <w:qFormat/>
    <w:uiPriority w:val="0"/>
    <w:pPr>
      <w:autoSpaceDE w:val="0"/>
      <w:autoSpaceDN w:val="0"/>
      <w:adjustRightInd w:val="0"/>
      <w:spacing w:line="360" w:lineRule="auto"/>
      <w:jc w:val="left"/>
    </w:pPr>
    <w:rPr>
      <w:b/>
      <w:kern w:val="0"/>
      <w:sz w:val="21"/>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正文 + 三号"/>
    <w:basedOn w:val="1"/>
    <w:qFormat/>
    <w:uiPriority w:val="0"/>
    <w:rPr>
      <w:sz w:val="21"/>
    </w:rPr>
  </w:style>
  <w:style w:type="paragraph" w:customStyle="1" w:styleId="183">
    <w:name w:val="Char Char Char Char Char Char Char"/>
    <w:basedOn w:val="17"/>
    <w:qFormat/>
    <w:uiPriority w:val="0"/>
    <w:rPr>
      <w:rFonts w:ascii="宋体" w:hAnsi="Tahoma"/>
    </w:rPr>
  </w:style>
  <w:style w:type="paragraph" w:customStyle="1" w:styleId="1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6">
    <w:name w:val="表格内文字"/>
    <w:basedOn w:val="30"/>
    <w:qFormat/>
    <w:uiPriority w:val="0"/>
    <w:pPr>
      <w:adjustRightInd w:val="0"/>
    </w:pPr>
    <w:rPr>
      <w:color w:val="000000"/>
      <w:lang w:val="en-GB"/>
    </w:rPr>
  </w:style>
  <w:style w:type="paragraph" w:customStyle="1" w:styleId="187">
    <w:name w:val="首行缩进"/>
    <w:basedOn w:val="1"/>
    <w:qFormat/>
    <w:uiPriority w:val="0"/>
    <w:pPr>
      <w:tabs>
        <w:tab w:val="left" w:pos="540"/>
      </w:tabs>
      <w:spacing w:line="360" w:lineRule="auto"/>
      <w:ind w:left="540"/>
    </w:pPr>
    <w:rPr>
      <w:rFonts w:eastAsia="仿宋_GB2312"/>
    </w:rPr>
  </w:style>
  <w:style w:type="paragraph" w:customStyle="1" w:styleId="188">
    <w:name w:val="表头文本"/>
    <w:qFormat/>
    <w:uiPriority w:val="0"/>
    <w:pPr>
      <w:jc w:val="center"/>
    </w:pPr>
    <w:rPr>
      <w:rFonts w:ascii="Arial" w:hAnsi="Arial" w:eastAsia="宋体" w:cs="Times New Roman"/>
      <w:b/>
      <w:sz w:val="21"/>
      <w:lang w:val="en-US" w:eastAsia="zh-CN" w:bidi="ar-SA"/>
    </w:rPr>
  </w:style>
  <w:style w:type="paragraph" w:customStyle="1" w:styleId="189">
    <w:name w:val="正文表格"/>
    <w:basedOn w:val="1"/>
    <w:qFormat/>
    <w:uiPriority w:val="0"/>
    <w:pPr>
      <w:adjustRightInd w:val="0"/>
      <w:spacing w:before="40" w:after="40"/>
    </w:pPr>
    <w:rPr>
      <w:sz w:val="24"/>
    </w:rPr>
  </w:style>
  <w:style w:type="paragraph" w:customStyle="1" w:styleId="190">
    <w:name w:val="修订1"/>
    <w:qFormat/>
    <w:uiPriority w:val="0"/>
    <w:rPr>
      <w:rFonts w:ascii="Times New Roman" w:hAnsi="Times New Roman" w:eastAsia="宋体" w:cs="Times New Roman"/>
      <w:kern w:val="2"/>
      <w:sz w:val="21"/>
      <w:lang w:val="en-US" w:eastAsia="zh-CN" w:bidi="ar-SA"/>
    </w:rPr>
  </w:style>
  <w:style w:type="paragraph" w:customStyle="1" w:styleId="19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9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4">
    <w:name w:val="正文4"/>
    <w:basedOn w:val="1"/>
    <w:qFormat/>
    <w:uiPriority w:val="0"/>
    <w:pPr>
      <w:tabs>
        <w:tab w:val="left" w:pos="1275"/>
      </w:tabs>
      <w:spacing w:before="60" w:after="60" w:line="360" w:lineRule="auto"/>
      <w:ind w:left="820" w:leftChars="400" w:hanging="705"/>
    </w:pPr>
    <w:rPr>
      <w:sz w:val="24"/>
    </w:rPr>
  </w:style>
  <w:style w:type="paragraph" w:customStyle="1" w:styleId="19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8">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9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标准正文"/>
    <w:basedOn w:val="23"/>
    <w:qFormat/>
    <w:uiPriority w:val="0"/>
    <w:pPr>
      <w:spacing w:before="60" w:after="60" w:line="360" w:lineRule="auto"/>
      <w:ind w:left="0" w:firstLine="482"/>
    </w:pPr>
    <w:rPr>
      <w:rFonts w:ascii="Arial" w:hAnsi="Arial"/>
      <w:sz w:val="24"/>
    </w:rPr>
  </w:style>
  <w:style w:type="paragraph" w:customStyle="1" w:styleId="20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4">
    <w:name w:val="Title - Revision"/>
    <w:basedOn w:val="53"/>
    <w:qFormat/>
    <w:uiPriority w:val="0"/>
    <w:pPr>
      <w:spacing w:before="720"/>
    </w:pPr>
  </w:style>
  <w:style w:type="paragraph" w:customStyle="1" w:styleId="205">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06">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8">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209">
    <w:name w:val="默认段落字体 Para Char Char Char Char Char Char Char"/>
    <w:basedOn w:val="1"/>
    <w:qFormat/>
    <w:uiPriority w:val="0"/>
    <w:rPr>
      <w:rFonts w:ascii="Tahoma" w:hAnsi="Tahoma"/>
      <w:sz w:val="24"/>
    </w:rPr>
  </w:style>
  <w:style w:type="paragraph" w:customStyle="1" w:styleId="210">
    <w:name w:val="Char1"/>
    <w:basedOn w:val="1"/>
    <w:qFormat/>
    <w:uiPriority w:val="0"/>
    <w:rPr>
      <w:sz w:val="21"/>
    </w:rPr>
  </w:style>
  <w:style w:type="paragraph" w:customStyle="1" w:styleId="211">
    <w:name w:val="Char2 Char Char Char Char Char Char"/>
    <w:basedOn w:val="1"/>
    <w:qFormat/>
    <w:uiPriority w:val="0"/>
    <w:rPr>
      <w:rFonts w:ascii="仿宋_GB2312"/>
      <w:b/>
      <w:sz w:val="30"/>
    </w:rPr>
  </w:style>
  <w:style w:type="paragraph" w:customStyle="1" w:styleId="212">
    <w:name w:val="二级条标题"/>
    <w:basedOn w:val="113"/>
    <w:next w:val="115"/>
    <w:qFormat/>
    <w:uiPriority w:val="0"/>
    <w:pPr>
      <w:ind w:left="840"/>
      <w:outlineLvl w:val="3"/>
    </w:pPr>
  </w:style>
  <w:style w:type="paragraph" w:customStyle="1" w:styleId="21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4">
    <w:name w:val="图例"/>
    <w:basedOn w:val="1"/>
    <w:qFormat/>
    <w:uiPriority w:val="0"/>
    <w:pPr>
      <w:spacing w:before="120" w:after="120" w:line="360" w:lineRule="auto"/>
      <w:jc w:val="center"/>
    </w:pPr>
    <w:rPr>
      <w:rFonts w:eastAsia="仿宋_GB2312"/>
      <w:b/>
      <w:sz w:val="24"/>
    </w:rPr>
  </w:style>
  <w:style w:type="paragraph" w:customStyle="1" w:styleId="21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1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spacing w:val="6"/>
      <w:sz w:val="28"/>
      <w:u w:val="single"/>
    </w:rPr>
  </w:style>
  <w:style w:type="paragraph" w:customStyle="1" w:styleId="21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0">
    <w:name w:val="样式 正文缩进正文（首行缩进两字）表正文正文非缩进特点标题4段1 + 首行缩进:  2 字符"/>
    <w:basedOn w:val="15"/>
    <w:qFormat/>
    <w:uiPriority w:val="0"/>
    <w:pPr>
      <w:ind w:firstLine="480" w:firstLineChars="200"/>
    </w:pPr>
  </w:style>
  <w:style w:type="paragraph" w:customStyle="1" w:styleId="221">
    <w:name w:val="文章正文"/>
    <w:basedOn w:val="1"/>
    <w:qFormat/>
    <w:uiPriority w:val="0"/>
    <w:pPr>
      <w:ind w:firstLine="560" w:firstLineChars="200"/>
    </w:pPr>
    <w:rPr>
      <w:rFonts w:ascii="仿宋_GB2312" w:hAnsi="宋体" w:eastAsia="仿宋_GB2312"/>
      <w:color w:val="000000"/>
    </w:rPr>
  </w:style>
  <w:style w:type="paragraph" w:customStyle="1" w:styleId="22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23">
    <w:name w:val="编号正文"/>
    <w:basedOn w:val="215"/>
    <w:qFormat/>
    <w:uiPriority w:val="0"/>
    <w:pPr>
      <w:snapToGrid/>
      <w:spacing w:line="360" w:lineRule="auto"/>
      <w:ind w:left="1407" w:hanging="1047"/>
      <w:jc w:val="left"/>
    </w:pPr>
    <w:rPr>
      <w:rFonts w:eastAsia="仿宋_GB2312"/>
    </w:rPr>
  </w:style>
  <w:style w:type="paragraph" w:customStyle="1" w:styleId="224">
    <w:name w:val="Char Char Char"/>
    <w:basedOn w:val="1"/>
    <w:qFormat/>
    <w:uiPriority w:val="0"/>
    <w:rPr>
      <w:rFonts w:ascii="Tahoma" w:hAnsi="Tahoma"/>
      <w:sz w:val="24"/>
    </w:rPr>
  </w:style>
  <w:style w:type="paragraph" w:customStyle="1" w:styleId="22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27">
    <w:name w:val="内容标题"/>
    <w:basedOn w:val="17"/>
    <w:qFormat/>
    <w:uiPriority w:val="0"/>
    <w:rPr>
      <w:rFonts w:ascii="Tahoma" w:hAnsi="Tahoma"/>
      <w:sz w:val="24"/>
    </w:rPr>
  </w:style>
  <w:style w:type="paragraph" w:customStyle="1" w:styleId="22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29">
    <w:name w:val="1.正文"/>
    <w:basedOn w:val="1"/>
    <w:qFormat/>
    <w:uiPriority w:val="0"/>
    <w:pPr>
      <w:spacing w:line="360" w:lineRule="auto"/>
      <w:ind w:left="540" w:leftChars="225" w:firstLine="540" w:firstLineChars="225"/>
    </w:pPr>
    <w:rPr>
      <w:sz w:val="24"/>
    </w:rPr>
  </w:style>
  <w:style w:type="paragraph" w:customStyle="1" w:styleId="230">
    <w:name w:val="Char Char Char Char Char Char Char1"/>
    <w:basedOn w:val="1"/>
    <w:qFormat/>
    <w:uiPriority w:val="0"/>
    <w:rPr>
      <w:rFonts w:ascii="Tahoma" w:hAnsi="Tahoma"/>
      <w:sz w:val="24"/>
    </w:rPr>
  </w:style>
  <w:style w:type="paragraph" w:customStyle="1" w:styleId="231">
    <w:name w:val="af"/>
    <w:basedOn w:val="1"/>
    <w:qFormat/>
    <w:uiPriority w:val="0"/>
    <w:pPr>
      <w:widowControl/>
      <w:spacing w:line="300" w:lineRule="atLeast"/>
      <w:jc w:val="left"/>
    </w:pPr>
    <w:rPr>
      <w:rFonts w:ascii="宋体" w:hAnsi="宋体"/>
      <w:kern w:val="0"/>
      <w:sz w:val="18"/>
    </w:rPr>
  </w:style>
  <w:style w:type="paragraph" w:customStyle="1" w:styleId="232">
    <w:name w:val="默认段落字体 Para Char Char Char Char Char Char Char Char Char1 Char Char Char Char"/>
    <w:basedOn w:val="1"/>
    <w:qFormat/>
    <w:uiPriority w:val="0"/>
    <w:rPr>
      <w:rFonts w:ascii="Tahoma" w:hAnsi="Tahoma"/>
      <w:sz w:val="24"/>
    </w:rPr>
  </w:style>
  <w:style w:type="paragraph" w:customStyle="1" w:styleId="23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val="0"/>
      <w:kern w:val="44"/>
    </w:rPr>
  </w:style>
  <w:style w:type="paragraph" w:customStyle="1" w:styleId="234">
    <w:name w:val="附录3"/>
    <w:basedOn w:val="1"/>
    <w:next w:val="1"/>
    <w:qFormat/>
    <w:uiPriority w:val="0"/>
    <w:pPr>
      <w:tabs>
        <w:tab w:val="left" w:pos="851"/>
      </w:tabs>
      <w:ind w:left="425" w:hanging="425"/>
      <w:outlineLvl w:val="2"/>
    </w:pPr>
    <w:rPr>
      <w:rFonts w:eastAsia="黑体"/>
      <w:b/>
      <w:sz w:val="32"/>
    </w:rPr>
  </w:style>
  <w:style w:type="paragraph" w:customStyle="1" w:styleId="2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38">
    <w:name w:val="Char Char14 Char Char"/>
    <w:basedOn w:val="1"/>
    <w:qFormat/>
    <w:uiPriority w:val="0"/>
    <w:rPr>
      <w:sz w:val="21"/>
      <w:szCs w:val="24"/>
    </w:rPr>
  </w:style>
  <w:style w:type="paragraph" w:customStyle="1" w:styleId="239">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0">
    <w:name w:val="可研正文"/>
    <w:basedOn w:val="22"/>
    <w:qFormat/>
    <w:uiPriority w:val="0"/>
    <w:pPr>
      <w:adjustRightInd w:val="0"/>
      <w:snapToGrid w:val="0"/>
      <w:spacing w:line="440" w:lineRule="exact"/>
      <w:ind w:firstLine="567"/>
    </w:pPr>
    <w:rPr>
      <w:sz w:val="28"/>
    </w:rPr>
  </w:style>
  <w:style w:type="character" w:customStyle="1" w:styleId="241">
    <w:name w:val="标题 2 Char"/>
    <w:qFormat/>
    <w:uiPriority w:val="0"/>
    <w:rPr>
      <w:rFonts w:ascii="Arial" w:hAnsi="Arial" w:eastAsia="宋体"/>
      <w:b/>
      <w:kern w:val="2"/>
      <w:sz w:val="24"/>
    </w:rPr>
  </w:style>
  <w:style w:type="character" w:customStyle="1" w:styleId="242">
    <w:name w:val="正文文本缩进 2 Char"/>
    <w:qFormat/>
    <w:uiPriority w:val="0"/>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037B5048-F3F6-4F6D-BDC0-5696548CCE3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19408</Words>
  <Characters>20329</Characters>
  <Lines>169</Lines>
  <Paragraphs>47</Paragraphs>
  <TotalTime>5</TotalTime>
  <ScaleCrop>false</ScaleCrop>
  <LinksUpToDate>false</LinksUpToDate>
  <CharactersWithSpaces>21130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2026-04-01T01:03:00Z</dcterms:created>
  <dc:creator>罗成</dc:creator>
  <cp:lastModifiedBy>五月</cp:lastModifiedBy>
  <cp:lastPrinted>2026-04-01T08:35:00Z</cp:lastPrinted>
  <dcterms:modified xsi:type="dcterms:W3CDTF">2026-04-08T06:49:49Z</dcterms:modified>
  <dc:title>竞争性谈判文件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BC72F29C3E8D4A1382FD1AF6C81A29DB_13</vt:lpwstr>
  </property>
  <property fmtid="{D5CDD505-2E9C-101B-9397-08002B2CF9AE}" pid="4" name="KSOTemplateDocerSaveRecord">
    <vt:lpwstr>eyJoZGlkIjoiMzA4NjExMjQ0MmQ1MWNiMmFkZTg0MDM1NWZjOTliY2IiLCJ1c2VySWQiOiI2NTkxNTYwNzIifQ==</vt:lpwstr>
  </property>
</Properties>
</file>